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020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firstLine="0" w:firstLineChars="0"/>
        <w:jc w:val="center"/>
        <w:textAlignment w:val="auto"/>
        <w:outlineLvl w:val="9"/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</w:p>
    <w:p w14:paraId="25E384E7">
      <w:pPr>
        <w:spacing w:line="360" w:lineRule="auto"/>
        <w:ind w:firstLine="0" w:firstLineChars="0"/>
        <w:jc w:val="center"/>
        <w:rPr>
          <w:rFonts w:hint="eastAsia" w:ascii="Times New Roman" w:hAnsi="Times New Roman" w:eastAsia="宋体" w:cs="Times New Roman"/>
          <w:b/>
          <w:sz w:val="52"/>
          <w:szCs w:val="52"/>
        </w:rPr>
      </w:pPr>
    </w:p>
    <w:p w14:paraId="222C9B0A">
      <w:pPr>
        <w:spacing w:line="360" w:lineRule="auto"/>
        <w:ind w:firstLine="0" w:firstLineChars="0"/>
        <w:jc w:val="center"/>
        <w:rPr>
          <w:rFonts w:hint="eastAsia" w:ascii="Times New Roman" w:hAnsi="Times New Roman" w:eastAsia="宋体" w:cs="Times New Roman"/>
          <w:b/>
          <w:sz w:val="52"/>
          <w:szCs w:val="52"/>
        </w:rPr>
      </w:pPr>
    </w:p>
    <w:p w14:paraId="183F99E9">
      <w:pPr>
        <w:spacing w:line="360" w:lineRule="auto"/>
        <w:ind w:firstLine="0" w:firstLineChars="0"/>
        <w:jc w:val="center"/>
        <w:rPr>
          <w:rFonts w:hint="eastAsia" w:ascii="Times New Roman" w:hAnsi="Times New Roman" w:eastAsia="宋体" w:cs="Times New Roman"/>
          <w:b/>
          <w:sz w:val="52"/>
          <w:szCs w:val="52"/>
        </w:rPr>
      </w:pPr>
    </w:p>
    <w:p w14:paraId="4B7FA42F">
      <w:pPr>
        <w:spacing w:line="360" w:lineRule="auto"/>
        <w:ind w:firstLine="0" w:firstLineChars="0"/>
        <w:jc w:val="center"/>
        <w:rPr>
          <w:rFonts w:hint="eastAsia" w:ascii="Times New Roman" w:hAnsi="Times New Roman" w:eastAsia="宋体" w:cs="Times New Roman"/>
          <w:b/>
          <w:sz w:val="52"/>
          <w:szCs w:val="52"/>
        </w:rPr>
      </w:pPr>
    </w:p>
    <w:p w14:paraId="4763FBA4">
      <w:pPr>
        <w:spacing w:line="360" w:lineRule="auto"/>
        <w:ind w:firstLine="0" w:firstLineChars="0"/>
        <w:jc w:val="center"/>
        <w:rPr>
          <w:rFonts w:hint="eastAsia" w:ascii="Times New Roman" w:hAnsi="Times New Roman" w:eastAsia="宋体" w:cs="Times New Roman"/>
          <w:b/>
          <w:sz w:val="52"/>
          <w:szCs w:val="52"/>
        </w:rPr>
      </w:pPr>
    </w:p>
    <w:p w14:paraId="1031C40D">
      <w:pPr>
        <w:spacing w:line="360" w:lineRule="auto"/>
        <w:ind w:firstLine="0" w:firstLineChars="0"/>
        <w:jc w:val="center"/>
        <w:rPr>
          <w:rFonts w:hint="eastAsia" w:ascii="Times New Roman" w:hAnsi="Times New Roman" w:eastAsia="宋体" w:cs="Times New Roman"/>
          <w:b/>
          <w:sz w:val="52"/>
          <w:szCs w:val="52"/>
        </w:rPr>
      </w:pPr>
    </w:p>
    <w:p w14:paraId="51C0A820">
      <w:pPr>
        <w:spacing w:line="360" w:lineRule="auto"/>
        <w:ind w:firstLine="0" w:firstLineChars="0"/>
        <w:jc w:val="center"/>
        <w:rPr>
          <w:rFonts w:hint="eastAsia" w:ascii="Times New Roman" w:hAnsi="Times New Roman" w:eastAsia="宋体" w:cs="Times New Roman"/>
          <w:b/>
          <w:sz w:val="52"/>
          <w:szCs w:val="52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sz w:val="52"/>
          <w:szCs w:val="52"/>
        </w:rPr>
        <w:t>连云港市公共资源</w:t>
      </w:r>
      <w:r>
        <w:rPr>
          <w:rFonts w:hint="eastAsia" w:ascii="Times New Roman" w:hAnsi="Times New Roman" w:eastAsia="宋体" w:cs="Times New Roman"/>
          <w:b/>
          <w:sz w:val="52"/>
          <w:szCs w:val="52"/>
          <w:lang w:eastAsia="zh-CN"/>
        </w:rPr>
        <w:t>“</w:t>
      </w:r>
      <w:r>
        <w:rPr>
          <w:rFonts w:hint="eastAsia" w:ascii="Times New Roman" w:hAnsi="Times New Roman" w:eastAsia="宋体" w:cs="Times New Roman"/>
          <w:b/>
          <w:sz w:val="52"/>
          <w:szCs w:val="52"/>
          <w:lang w:val="en-US" w:eastAsia="zh-CN"/>
        </w:rPr>
        <w:t>无人值守</w:t>
      </w:r>
      <w:r>
        <w:rPr>
          <w:rFonts w:hint="eastAsia" w:ascii="Times New Roman" w:hAnsi="Times New Roman" w:eastAsia="宋体" w:cs="Times New Roman"/>
          <w:b/>
          <w:sz w:val="52"/>
          <w:szCs w:val="52"/>
          <w:lang w:eastAsia="zh-CN"/>
        </w:rPr>
        <w:t>”</w:t>
      </w:r>
    </w:p>
    <w:p w14:paraId="4F7EB7E8">
      <w:pPr>
        <w:spacing w:line="360" w:lineRule="auto"/>
        <w:ind w:firstLine="0" w:firstLineChars="0"/>
        <w:jc w:val="center"/>
        <w:rPr>
          <w:rFonts w:hint="eastAsia" w:ascii="Times New Roman" w:hAnsi="Times New Roman" w:eastAsia="宋体" w:cs="Times New Roman"/>
          <w:b/>
          <w:sz w:val="52"/>
          <w:szCs w:val="52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sz w:val="52"/>
          <w:szCs w:val="52"/>
        </w:rPr>
        <w:t>不见面开标</w:t>
      </w:r>
      <w:r>
        <w:rPr>
          <w:rFonts w:hint="eastAsia" w:ascii="Times New Roman" w:hAnsi="Times New Roman" w:eastAsia="宋体" w:cs="Times New Roman"/>
          <w:b/>
          <w:sz w:val="52"/>
          <w:szCs w:val="52"/>
          <w:lang w:val="en-US" w:eastAsia="zh-CN"/>
        </w:rPr>
        <w:t>大厅</w:t>
      </w:r>
    </w:p>
    <w:p w14:paraId="4B5F51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313" w:beforeLines="100" w:line="240" w:lineRule="auto"/>
        <w:ind w:firstLine="0" w:firstLineChars="0"/>
        <w:jc w:val="center"/>
        <w:textAlignment w:val="auto"/>
        <w:rPr>
          <w:rFonts w:hint="eastAsia" w:ascii="Times New Roman" w:hAnsi="Times New Roman" w:eastAsia="宋体" w:cs="Times New Roman"/>
          <w:b/>
          <w:sz w:val="52"/>
          <w:szCs w:val="52"/>
        </w:rPr>
      </w:pPr>
      <w:r>
        <w:rPr>
          <w:rFonts w:hint="eastAsia" w:ascii="Times New Roman" w:hAnsi="Times New Roman" w:eastAsia="宋体" w:cs="Times New Roman"/>
          <w:b/>
          <w:sz w:val="52"/>
          <w:szCs w:val="52"/>
        </w:rPr>
        <w:t>操作手册</w:t>
      </w:r>
    </w:p>
    <w:p w14:paraId="3DC22074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before="313" w:beforeLines="100" w:line="240" w:lineRule="auto"/>
        <w:ind w:firstLine="0" w:firstLineChars="0"/>
        <w:jc w:val="right"/>
        <w:textAlignment w:val="auto"/>
        <w:rPr>
          <w:rFonts w:hint="default" w:ascii="Times New Roman" w:hAnsi="Times New Roman" w:eastAsia="宋体" w:cs="Times New Roman"/>
          <w:b/>
          <w:sz w:val="52"/>
          <w:szCs w:val="52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sz w:val="52"/>
          <w:szCs w:val="52"/>
          <w:lang w:val="en-US" w:eastAsia="zh-CN"/>
        </w:rPr>
        <w:t xml:space="preserve"> </w:t>
      </w:r>
    </w:p>
    <w:p w14:paraId="272E1A3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313" w:beforeLines="100" w:line="240" w:lineRule="auto"/>
        <w:ind w:firstLine="0" w:firstLineChars="0"/>
        <w:jc w:val="center"/>
        <w:textAlignment w:val="auto"/>
        <w:rPr>
          <w:rFonts w:hint="eastAsia" w:ascii="Times New Roman" w:hAnsi="Times New Roman" w:eastAsia="宋体" w:cs="Times New Roman"/>
          <w:b/>
          <w:sz w:val="52"/>
          <w:szCs w:val="52"/>
        </w:rPr>
      </w:pPr>
    </w:p>
    <w:p w14:paraId="4A54D79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2185" w:beforeLines="700" w:line="360" w:lineRule="auto"/>
        <w:ind w:firstLine="0" w:firstLineChars="0"/>
        <w:jc w:val="center"/>
        <w:textAlignment w:val="auto"/>
        <w:rPr>
          <w:rFonts w:ascii="Times New Roman" w:hAnsi="Times New Roman" w:eastAsia="宋体" w:cs="Times New Roman"/>
          <w:b/>
          <w:sz w:val="52"/>
          <w:szCs w:val="52"/>
        </w:rPr>
      </w:pPr>
      <w:r>
        <w:rPr>
          <w:rFonts w:hint="eastAsia" w:ascii="Times New Roman" w:hAnsi="Times New Roman" w:eastAsia="宋体" w:cs="Times New Roman"/>
          <w:b/>
          <w:sz w:val="52"/>
          <w:szCs w:val="52"/>
        </w:rPr>
        <w:t>202</w:t>
      </w:r>
      <w:r>
        <w:rPr>
          <w:rFonts w:hint="eastAsia" w:ascii="Times New Roman" w:hAnsi="Times New Roman" w:eastAsia="宋体" w:cs="Times New Roman"/>
          <w:b/>
          <w:sz w:val="52"/>
          <w:szCs w:val="52"/>
          <w:lang w:val="en-US" w:eastAsia="zh-CN"/>
        </w:rPr>
        <w:t>6</w:t>
      </w:r>
      <w:r>
        <w:rPr>
          <w:rFonts w:hint="eastAsia" w:ascii="Times New Roman" w:hAnsi="Times New Roman" w:eastAsia="宋体" w:cs="Times New Roman"/>
          <w:b/>
          <w:sz w:val="52"/>
          <w:szCs w:val="52"/>
        </w:rPr>
        <w:t>年</w:t>
      </w:r>
      <w:r>
        <w:rPr>
          <w:rFonts w:hint="eastAsia" w:ascii="Times New Roman" w:hAnsi="Times New Roman" w:eastAsia="宋体" w:cs="Times New Roman"/>
          <w:b/>
          <w:sz w:val="52"/>
          <w:szCs w:val="52"/>
          <w:lang w:val="en-US" w:eastAsia="zh-CN"/>
        </w:rPr>
        <w:t>5</w:t>
      </w:r>
      <w:r>
        <w:rPr>
          <w:rFonts w:hint="eastAsia" w:ascii="Times New Roman" w:hAnsi="Times New Roman" w:eastAsia="宋体" w:cs="Times New Roman"/>
          <w:b/>
          <w:sz w:val="52"/>
          <w:szCs w:val="52"/>
        </w:rPr>
        <w:t>月</w:t>
      </w:r>
    </w:p>
    <w:p w14:paraId="156BC647">
      <w:pP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</w:p>
    <w:p w14:paraId="6180D5D0">
      <w:pPr>
        <w:rPr>
          <w:rFonts w:hint="default"/>
          <w:b/>
          <w:bCs/>
          <w:sz w:val="52"/>
          <w:szCs w:val="52"/>
          <w:lang w:val="en-US" w:eastAsia="zh-CN"/>
        </w:rPr>
      </w:pPr>
      <w:r>
        <w:rPr>
          <w:rFonts w:hint="default"/>
          <w:b/>
          <w:bCs/>
          <w:sz w:val="52"/>
          <w:szCs w:val="52"/>
          <w:lang w:val="en-US" w:eastAsia="zh-CN"/>
        </w:rPr>
        <w:br w:type="page"/>
      </w:r>
    </w:p>
    <w:p w14:paraId="72531CE8">
      <w:pPr>
        <w:numPr>
          <w:ilvl w:val="0"/>
          <w:numId w:val="1"/>
        </w:numPr>
        <w:ind w:left="0" w:leftChars="0" w:firstLine="0" w:firstLineChars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不见面大厅登录</w:t>
      </w:r>
    </w:p>
    <w:p w14:paraId="70806326">
      <w:pPr>
        <w:numPr>
          <w:ilvl w:val="0"/>
          <w:numId w:val="0"/>
        </w:numPr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1、登录连云港市公共资源交易网http://ggzy.lyg.gov.cn，选择“交易平台”—“评标系统”</w:t>
      </w:r>
      <w:r>
        <w:rPr>
          <w:rFonts w:hint="eastAsia" w:asciiTheme="minorHAnsi" w:eastAsiaTheme="minorEastAsia"/>
          <w:sz w:val="28"/>
          <w:szCs w:val="28"/>
          <w:lang w:val="en-US" w:eastAsia="zh-CN"/>
        </w:rPr>
        <w:t>—“</w:t>
      </w:r>
      <w:r>
        <w:rPr>
          <w:rFonts w:hint="eastAsia"/>
          <w:sz w:val="28"/>
          <w:szCs w:val="28"/>
          <w:lang w:val="en-US" w:eastAsia="zh-CN"/>
        </w:rPr>
        <w:t>不见面开标大厅”</w:t>
      </w:r>
    </w:p>
    <w:p w14:paraId="005F1EAF">
      <w:pPr>
        <w:numPr>
          <w:ilvl w:val="0"/>
          <w:numId w:val="0"/>
        </w:numPr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drawing>
          <wp:inline distT="0" distB="0" distL="114300" distR="114300">
            <wp:extent cx="5238115" cy="2951480"/>
            <wp:effectExtent l="0" t="0" r="4445" b="5080"/>
            <wp:docPr id="7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29514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8061E0C">
      <w:pPr>
        <w:numPr>
          <w:ilvl w:val="0"/>
          <w:numId w:val="0"/>
        </w:numPr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drawing>
          <wp:inline distT="0" distB="0" distL="114300" distR="114300">
            <wp:extent cx="5216525" cy="2938145"/>
            <wp:effectExtent l="0" t="0" r="10795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16525" cy="29381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93BD84E">
      <w:pPr>
        <w:numPr>
          <w:ilvl w:val="0"/>
          <w:numId w:val="0"/>
        </w:numPr>
        <w:rPr>
          <w:sz w:val="28"/>
          <w:szCs w:val="28"/>
        </w:rPr>
      </w:pPr>
    </w:p>
    <w:p w14:paraId="551E7553">
      <w:pPr>
        <w:numPr>
          <w:ilvl w:val="0"/>
          <w:numId w:val="0"/>
        </w:numPr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2、进入不见面开标系统首页，点击右上角【登录】按钮，然后选择“连云港市公共资源不见面开标大厅”，找到招标代理入口，插入CA锁进行登录。</w:t>
      </w:r>
    </w:p>
    <w:p w14:paraId="6823D71A">
      <w:pPr>
        <w:widowControl w:val="0"/>
        <w:numPr>
          <w:ilvl w:val="0"/>
          <w:numId w:val="0"/>
        </w:numPr>
        <w:jc w:val="both"/>
        <w:rPr>
          <w:sz w:val="28"/>
          <w:szCs w:val="28"/>
        </w:rPr>
      </w:pPr>
    </w:p>
    <w:p w14:paraId="1555456C">
      <w:pPr>
        <w:widowControl w:val="0"/>
        <w:numPr>
          <w:ilvl w:val="0"/>
          <w:numId w:val="0"/>
        </w:numPr>
        <w:jc w:val="center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drawing>
          <wp:inline distT="0" distB="0" distL="114300" distR="114300">
            <wp:extent cx="5191125" cy="3020695"/>
            <wp:effectExtent l="0" t="0" r="5715" b="1206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30206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DB33770">
      <w:pPr>
        <w:widowControl w:val="0"/>
        <w:numPr>
          <w:ilvl w:val="0"/>
          <w:numId w:val="0"/>
        </w:numPr>
        <w:jc w:val="center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drawing>
          <wp:inline distT="0" distB="0" distL="114300" distR="114300">
            <wp:extent cx="5137150" cy="2858135"/>
            <wp:effectExtent l="0" t="0" r="13970" b="698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37150" cy="2858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AC4B810">
      <w:pPr>
        <w:widowControl w:val="0"/>
        <w:numPr>
          <w:ilvl w:val="0"/>
          <w:numId w:val="0"/>
        </w:numPr>
        <w:jc w:val="both"/>
        <w:rPr>
          <w:rFonts w:hint="eastAsia"/>
          <w:sz w:val="28"/>
          <w:szCs w:val="28"/>
          <w:lang w:val="en-US" w:eastAsia="zh-CN"/>
        </w:rPr>
      </w:pPr>
    </w:p>
    <w:p w14:paraId="58B57618">
      <w:pPr>
        <w:numPr>
          <w:ilvl w:val="0"/>
          <w:numId w:val="0"/>
        </w:numPr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二、不见面无人值守功能操作流程</w:t>
      </w:r>
    </w:p>
    <w:p w14:paraId="09EE7922">
      <w:pPr>
        <w:numPr>
          <w:ilvl w:val="0"/>
          <w:numId w:val="2"/>
        </w:numPr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当主持人（招标代理）进入项目中时，</w:t>
      </w:r>
      <w:r>
        <w:rPr>
          <w:rFonts w:hint="eastAsia" w:ascii="Times New Roman" w:eastAsia="宋体"/>
          <w:sz w:val="28"/>
          <w:szCs w:val="28"/>
          <w:lang w:val="en-US" w:eastAsia="zh-CN"/>
        </w:rPr>
        <w:t>项目默认处于无人值守自动开标状态，</w:t>
      </w:r>
      <w:r>
        <w:rPr>
          <w:rFonts w:hint="eastAsia"/>
          <w:sz w:val="28"/>
          <w:szCs w:val="28"/>
          <w:lang w:val="en-US" w:eastAsia="zh-CN"/>
        </w:rPr>
        <w:t>除</w:t>
      </w:r>
      <w:r>
        <w:rPr>
          <w:rFonts w:hint="eastAsia"/>
          <w:color w:val="FF0000"/>
          <w:sz w:val="28"/>
          <w:szCs w:val="28"/>
          <w:lang w:val="en-US" w:eastAsia="zh-CN"/>
        </w:rPr>
        <w:t>参数抽取</w:t>
      </w:r>
      <w:r>
        <w:rPr>
          <w:rFonts w:hint="eastAsia"/>
          <w:sz w:val="28"/>
          <w:szCs w:val="28"/>
          <w:lang w:val="en-US" w:eastAsia="zh-CN"/>
        </w:rPr>
        <w:t>、</w:t>
      </w:r>
      <w:r>
        <w:rPr>
          <w:rFonts w:hint="eastAsia"/>
          <w:color w:val="FF0000"/>
          <w:sz w:val="28"/>
          <w:szCs w:val="28"/>
          <w:lang w:val="en-US" w:eastAsia="zh-CN"/>
        </w:rPr>
        <w:t>投标人解密</w:t>
      </w:r>
      <w:r>
        <w:rPr>
          <w:rFonts w:hint="eastAsia"/>
          <w:sz w:val="28"/>
          <w:szCs w:val="28"/>
          <w:lang w:val="en-US" w:eastAsia="zh-CN"/>
        </w:rPr>
        <w:t>、</w:t>
      </w:r>
      <w:r>
        <w:rPr>
          <w:rFonts w:hint="eastAsia"/>
          <w:color w:val="FF0000"/>
          <w:sz w:val="28"/>
          <w:szCs w:val="28"/>
          <w:lang w:val="en-US" w:eastAsia="zh-CN"/>
        </w:rPr>
        <w:t>招标人解密</w:t>
      </w:r>
      <w:r>
        <w:rPr>
          <w:rFonts w:hint="eastAsia"/>
          <w:sz w:val="28"/>
          <w:szCs w:val="28"/>
          <w:lang w:val="en-US" w:eastAsia="zh-CN"/>
        </w:rPr>
        <w:t>需要人工参与的环节，其他环节有系统自动进行。</w:t>
      </w:r>
    </w:p>
    <w:p w14:paraId="4B34C11C">
      <w:pPr>
        <w:numPr>
          <w:ilvl w:val="0"/>
          <w:numId w:val="0"/>
        </w:numPr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drawing>
          <wp:inline distT="0" distB="0" distL="114300" distR="114300">
            <wp:extent cx="5292090" cy="2849880"/>
            <wp:effectExtent l="0" t="0" r="11430" b="0"/>
            <wp:docPr id="8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92090" cy="28498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9AB5779">
      <w:pPr>
        <w:numPr>
          <w:ilvl w:val="0"/>
          <w:numId w:val="0"/>
        </w:numPr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drawing>
          <wp:inline distT="0" distB="0" distL="114300" distR="114300">
            <wp:extent cx="5219700" cy="2890520"/>
            <wp:effectExtent l="0" t="0" r="7620" b="5080"/>
            <wp:docPr id="9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2890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FF943D7">
      <w:pPr>
        <w:numPr>
          <w:ilvl w:val="0"/>
          <w:numId w:val="0"/>
        </w:numPr>
        <w:ind w:leftChars="0"/>
        <w:rPr>
          <w:sz w:val="28"/>
          <w:szCs w:val="28"/>
        </w:rPr>
      </w:pPr>
    </w:p>
    <w:p w14:paraId="134466AA">
      <w:pPr>
        <w:numPr>
          <w:ilvl w:val="0"/>
          <w:numId w:val="0"/>
        </w:numPr>
        <w:ind w:leftChars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2、无人值守操作注意点</w:t>
      </w:r>
    </w:p>
    <w:p w14:paraId="34BC342B">
      <w:pPr>
        <w:numPr>
          <w:ilvl w:val="0"/>
          <w:numId w:val="0"/>
        </w:numPr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1）、开启无人值守功能开启后，以下环节需人工操作确认</w:t>
      </w:r>
    </w:p>
    <w:p w14:paraId="62EA06EC">
      <w:pPr>
        <w:numPr>
          <w:numId w:val="0"/>
        </w:numPr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参数抽取：人工在线下进行评标办法和对应参数抽取，录入系统保存后进入下一阶段</w:t>
      </w:r>
    </w:p>
    <w:p w14:paraId="46BD9D5F">
      <w:pPr>
        <w:numPr>
          <w:numId w:val="0"/>
        </w:numPr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60670" cy="2860040"/>
            <wp:effectExtent l="0" t="0" r="3810" b="5080"/>
            <wp:docPr id="11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6067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CBF7BEF">
      <w:pPr>
        <w:numPr>
          <w:numId w:val="0"/>
        </w:numPr>
        <w:rPr>
          <w:rFonts w:hint="default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8"/>
          <w:szCs w:val="28"/>
        </w:rPr>
        <w:drawing>
          <wp:inline distT="0" distB="0" distL="114300" distR="114300">
            <wp:extent cx="5382260" cy="3005455"/>
            <wp:effectExtent l="0" t="0" r="12700" b="12065"/>
            <wp:docPr id="10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82260" cy="30054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D0087AC">
      <w:pPr>
        <w:numPr>
          <w:numId w:val="0"/>
        </w:numPr>
        <w:ind w:leftChars="0"/>
        <w:rPr>
          <w:rFonts w:hint="eastAsia"/>
          <w:sz w:val="28"/>
          <w:szCs w:val="28"/>
          <w:lang w:val="en-US" w:eastAsia="zh-CN"/>
        </w:rPr>
      </w:pPr>
    </w:p>
    <w:p w14:paraId="24DBCC86">
      <w:pPr>
        <w:numPr>
          <w:numId w:val="0"/>
        </w:numPr>
        <w:ind w:leftChars="0"/>
        <w:rPr>
          <w:rFonts w:hint="eastAsia"/>
          <w:sz w:val="28"/>
          <w:szCs w:val="28"/>
          <w:lang w:val="en-US" w:eastAsia="zh-CN"/>
        </w:rPr>
      </w:pPr>
      <w:bookmarkStart w:id="0" w:name="_GoBack"/>
      <w:bookmarkEnd w:id="0"/>
      <w:r>
        <w:rPr>
          <w:rFonts w:hint="eastAsia"/>
          <w:sz w:val="28"/>
          <w:szCs w:val="28"/>
          <w:lang w:val="en-US" w:eastAsia="zh-CN"/>
        </w:rPr>
        <w:t>标书解密环节：投标人自行输入密码进行解密；完成后</w:t>
      </w:r>
      <w:r>
        <w:rPr>
          <w:rFonts w:hint="eastAsia" w:ascii="Times New Roman" w:eastAsia="宋体"/>
          <w:sz w:val="28"/>
          <w:szCs w:val="28"/>
          <w:lang w:val="en-US" w:eastAsia="zh-CN"/>
        </w:rPr>
        <w:t>进行</w:t>
      </w:r>
      <w:r>
        <w:rPr>
          <w:rFonts w:hint="eastAsia"/>
          <w:sz w:val="28"/>
          <w:szCs w:val="28"/>
          <w:lang w:val="en-US" w:eastAsia="zh-CN"/>
        </w:rPr>
        <w:t>招标解密，招标解密完成自动进行后续环节开标，直至开标结束。</w:t>
      </w:r>
    </w:p>
    <w:p w14:paraId="45919B8B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center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08905" cy="2865755"/>
            <wp:effectExtent l="0" t="0" r="3175" b="14605"/>
            <wp:docPr id="13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28657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068570" cy="2828290"/>
            <wp:effectExtent l="0" t="0" r="6350" b="6350"/>
            <wp:docPr id="12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68570" cy="2828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D7FBA34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center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072380" cy="2813685"/>
            <wp:effectExtent l="0" t="0" r="2540" b="5715"/>
            <wp:docPr id="14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72380" cy="28136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B5F880B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2）、无人值守自动开标的各个环节，系统会等待1分钟后进行下一开标环节。</w:t>
      </w:r>
    </w:p>
    <w:p w14:paraId="4A3F69D2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3）、如需暂停开标，请手动点击【暂停自动开标】按钮。</w:t>
      </w:r>
    </w:p>
    <w:p w14:paraId="6CFB67C4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097780" cy="2845435"/>
            <wp:effectExtent l="0" t="0" r="7620" b="4445"/>
            <wp:docPr id="15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 descr="IMG_2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97780" cy="28454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0CE3A21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4）、如存在异议，需要代理机构回复完成后手动开标结束。</w:t>
      </w:r>
    </w:p>
    <w:p w14:paraId="08126BA7">
      <w:pPr>
        <w:numPr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44135" cy="2858135"/>
            <wp:effectExtent l="0" t="0" r="6985" b="6985"/>
            <wp:docPr id="16" name="图片 1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3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44135" cy="2858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altName w:val="方正舒体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方正舒体">
    <w:panose1 w:val="02010601030101010101"/>
    <w:charset w:val="86"/>
    <w:family w:val="auto"/>
    <w:pitch w:val="default"/>
    <w:sig w:usb0="00000003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F75B4CC"/>
    <w:multiLevelType w:val="singleLevel"/>
    <w:tmpl w:val="EF75B4CC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74B54884"/>
    <w:multiLevelType w:val="singleLevel"/>
    <w:tmpl w:val="74B54884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D0B393E"/>
    <w:rsid w:val="0F35670D"/>
    <w:rsid w:val="23DC56BB"/>
    <w:rsid w:val="2567379E"/>
    <w:rsid w:val="312402B6"/>
    <w:rsid w:val="3AF328C6"/>
    <w:rsid w:val="3FFB6547"/>
    <w:rsid w:val="40C06B3C"/>
    <w:rsid w:val="40F87F55"/>
    <w:rsid w:val="4637504D"/>
    <w:rsid w:val="487D0DF7"/>
    <w:rsid w:val="4D434612"/>
    <w:rsid w:val="52304301"/>
    <w:rsid w:val="53394028"/>
    <w:rsid w:val="536F35A6"/>
    <w:rsid w:val="5DB07896"/>
    <w:rsid w:val="5F99451B"/>
    <w:rsid w:val="6C755C79"/>
    <w:rsid w:val="71920663"/>
    <w:rsid w:val="72C139C6"/>
    <w:rsid w:val="7C2F77B6"/>
    <w:rsid w:val="7CBE5D37"/>
    <w:rsid w:val="7F79B89F"/>
    <w:rsid w:val="7F893C4C"/>
    <w:rsid w:val="DEBFFFE3"/>
    <w:rsid w:val="DFCF25FD"/>
    <w:rsid w:val="FDBDF81A"/>
    <w:rsid w:val="FDF2EA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100" w:beforeAutospacing="1" w:after="100" w:afterAutospacing="1"/>
      <w:jc w:val="left"/>
      <w:outlineLvl w:val="0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367</Words>
  <Characters>398</Characters>
  <Lines>0</Lines>
  <Paragraphs>0</Paragraphs>
  <TotalTime>31</TotalTime>
  <ScaleCrop>false</ScaleCrop>
  <LinksUpToDate>false</LinksUpToDate>
  <CharactersWithSpaces>399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2026-03-05T15:21:00Z</dcterms:created>
  <dc:creator>Administrator</dc:creator>
  <cp:lastModifiedBy>择一城终老</cp:lastModifiedBy>
  <dcterms:modified xsi:type="dcterms:W3CDTF">2026-05-22T01:58:27Z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KSOTemplateDocerSaveRecord">
    <vt:lpwstr>eyJoZGlkIjoiZDM3OWM0MzU1YTgwZTQ0ODMwNTU2MzYyYWVkMmM1MWYiLCJ1c2VySWQiOiIxMDYwMDEzODAzIn0=</vt:lpwstr>
  </property>
  <property fmtid="{D5CDD505-2E9C-101B-9397-08002B2CF9AE}" pid="4" name="ICV">
    <vt:lpwstr>3A20C9122A024BD79CF65976F1F2C52D_12</vt:lpwstr>
  </property>
</Properties>
</file>