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33" w:beforeLines="10" w:line="400" w:lineRule="exact"/>
        <w:rPr>
          <w:rFonts w:hint="eastAsia" w:ascii="宋体" w:hAnsi="宋体"/>
          <w:b/>
          <w:bCs/>
          <w:spacing w:val="80"/>
          <w:sz w:val="30"/>
        </w:rPr>
      </w:pPr>
    </w:p>
    <w:p>
      <w:pPr>
        <w:pStyle w:val="17"/>
        <w:jc w:val="center"/>
        <w:rPr>
          <w:rFonts w:hAnsi="宋体"/>
          <w:b/>
          <w:bCs/>
          <w:spacing w:val="80"/>
          <w:sz w:val="64"/>
        </w:rPr>
      </w:pPr>
    </w:p>
    <w:p>
      <w:pPr>
        <w:spacing w:line="360" w:lineRule="auto"/>
        <w:jc w:val="center"/>
        <w:rPr>
          <w:rFonts w:ascii="宋体" w:hAnsi="宋体"/>
          <w:b/>
          <w:bCs/>
          <w:spacing w:val="80"/>
          <w:sz w:val="72"/>
          <w:szCs w:val="72"/>
        </w:rPr>
      </w:pPr>
      <w:r>
        <w:rPr>
          <w:rFonts w:hint="eastAsia" w:ascii="宋体" w:hAnsi="宋体"/>
          <w:b/>
          <w:bCs/>
          <w:spacing w:val="80"/>
          <w:sz w:val="72"/>
          <w:szCs w:val="72"/>
        </w:rPr>
        <w:t>连云港市政府采购</w:t>
      </w:r>
    </w:p>
    <w:p>
      <w:pPr>
        <w:spacing w:line="360" w:lineRule="auto"/>
        <w:rPr>
          <w:rFonts w:ascii="宋体" w:hAnsi="宋体"/>
          <w:b/>
          <w:bCs/>
          <w:spacing w:val="16"/>
          <w:sz w:val="44"/>
        </w:rPr>
      </w:pPr>
    </w:p>
    <w:p>
      <w:pPr>
        <w:spacing w:line="360" w:lineRule="auto"/>
        <w:rPr>
          <w:rFonts w:ascii="宋体" w:hAnsi="宋体"/>
          <w:b/>
          <w:bCs/>
          <w:spacing w:val="16"/>
          <w:sz w:val="44"/>
        </w:rPr>
      </w:pPr>
    </w:p>
    <w:p>
      <w:pPr>
        <w:spacing w:line="360" w:lineRule="auto"/>
        <w:jc w:val="center"/>
        <w:rPr>
          <w:rFonts w:ascii="宋体" w:hAnsi="宋体"/>
          <w:b/>
          <w:bCs/>
          <w:spacing w:val="80"/>
          <w:sz w:val="72"/>
          <w:szCs w:val="72"/>
        </w:rPr>
      </w:pPr>
      <w:r>
        <w:rPr>
          <w:rFonts w:hint="eastAsia" w:ascii="宋体" w:hAnsi="宋体"/>
          <w:b/>
          <w:bCs/>
          <w:spacing w:val="80"/>
          <w:sz w:val="72"/>
          <w:szCs w:val="72"/>
        </w:rPr>
        <w:t>招标文件</w:t>
      </w:r>
    </w:p>
    <w:p>
      <w:pPr>
        <w:spacing w:line="360" w:lineRule="auto"/>
        <w:rPr>
          <w:rFonts w:ascii="宋体" w:hAnsi="宋体"/>
          <w:b/>
          <w:bCs/>
          <w:spacing w:val="16"/>
          <w:sz w:val="44"/>
        </w:rPr>
      </w:pPr>
    </w:p>
    <w:p>
      <w:pPr>
        <w:spacing w:line="360" w:lineRule="auto"/>
        <w:rPr>
          <w:rFonts w:ascii="宋体" w:hAnsi="宋体"/>
          <w:b/>
          <w:bCs/>
          <w:spacing w:val="16"/>
          <w:sz w:val="44"/>
        </w:rPr>
      </w:pPr>
    </w:p>
    <w:p>
      <w:pPr>
        <w:spacing w:line="360" w:lineRule="auto"/>
        <w:rPr>
          <w:rFonts w:ascii="宋体" w:hAnsi="宋体"/>
          <w:b/>
          <w:bCs/>
          <w:spacing w:val="16"/>
          <w:sz w:val="44"/>
        </w:rPr>
      </w:pPr>
    </w:p>
    <w:p>
      <w:pPr>
        <w:spacing w:line="360" w:lineRule="auto"/>
        <w:ind w:left="840" w:firstLine="420"/>
        <w:rPr>
          <w:rFonts w:ascii="宋体" w:hAnsi="宋体"/>
          <w:b/>
          <w:bCs/>
          <w:spacing w:val="16"/>
          <w:sz w:val="44"/>
        </w:rPr>
      </w:pPr>
      <w:r>
        <w:rPr>
          <w:rFonts w:hint="eastAsia" w:ascii="宋体" w:hAnsi="宋体"/>
          <w:b/>
          <w:bCs/>
          <w:w w:val="95"/>
          <w:sz w:val="32"/>
        </w:rPr>
        <w:t>项目名称：生物教育课程基地设备采购项目</w:t>
      </w:r>
    </w:p>
    <w:p>
      <w:pPr>
        <w:spacing w:line="360" w:lineRule="auto"/>
        <w:ind w:left="840" w:firstLine="420"/>
        <w:rPr>
          <w:rFonts w:ascii="宋体" w:hAnsi="宋体"/>
          <w:b/>
          <w:bCs/>
          <w:w w:val="95"/>
          <w:sz w:val="32"/>
        </w:rPr>
      </w:pPr>
      <w:r>
        <w:rPr>
          <w:rFonts w:hint="eastAsia" w:ascii="宋体" w:hAnsi="宋体"/>
          <w:b/>
          <w:bCs/>
          <w:w w:val="95"/>
          <w:sz w:val="32"/>
        </w:rPr>
        <w:t>项目编号：20180511003</w:t>
      </w:r>
    </w:p>
    <w:p>
      <w:pPr>
        <w:spacing w:line="360" w:lineRule="auto"/>
        <w:rPr>
          <w:rFonts w:ascii="宋体" w:hAnsi="宋体"/>
        </w:rPr>
      </w:pPr>
    </w:p>
    <w:p>
      <w:pPr>
        <w:spacing w:line="360" w:lineRule="auto"/>
        <w:rPr>
          <w:rFonts w:ascii="宋体" w:hAnsi="宋体"/>
        </w:rPr>
      </w:pPr>
    </w:p>
    <w:p>
      <w:pPr>
        <w:spacing w:line="360" w:lineRule="auto"/>
        <w:rPr>
          <w:rFonts w:ascii="宋体" w:hAnsi="宋体"/>
        </w:rPr>
      </w:pPr>
    </w:p>
    <w:tbl>
      <w:tblPr>
        <w:tblStyle w:val="41"/>
        <w:tblW w:w="9854" w:type="dxa"/>
        <w:tblInd w:w="0" w:type="dxa"/>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8"/>
        <w:gridCol w:w="2520"/>
        <w:gridCol w:w="6686"/>
      </w:tblGrid>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7" w:hRule="atLeast"/>
        </w:trPr>
        <w:tc>
          <w:tcPr>
            <w:tcW w:w="648" w:type="dxa"/>
          </w:tcPr>
          <w:p>
            <w:pPr>
              <w:spacing w:line="360" w:lineRule="auto"/>
              <w:rPr>
                <w:rFonts w:ascii="宋体" w:hAnsi="宋体"/>
                <w:b/>
                <w:bCs/>
                <w:w w:val="95"/>
                <w:sz w:val="32"/>
              </w:rPr>
            </w:pPr>
          </w:p>
          <w:p>
            <w:pPr>
              <w:spacing w:line="360" w:lineRule="auto"/>
              <w:rPr>
                <w:rFonts w:ascii="宋体" w:hAnsi="宋体"/>
                <w:b/>
                <w:bCs/>
                <w:w w:val="95"/>
                <w:sz w:val="32"/>
              </w:rPr>
            </w:pPr>
          </w:p>
        </w:tc>
        <w:tc>
          <w:tcPr>
            <w:tcW w:w="2520" w:type="dxa"/>
            <w:vAlign w:val="bottom"/>
          </w:tcPr>
          <w:p>
            <w:pPr>
              <w:spacing w:line="360" w:lineRule="auto"/>
              <w:jc w:val="right"/>
              <w:rPr>
                <w:rFonts w:ascii="宋体" w:hAnsi="宋体"/>
                <w:b/>
                <w:bCs/>
                <w:w w:val="95"/>
                <w:sz w:val="32"/>
              </w:rPr>
            </w:pPr>
            <w:r>
              <w:rPr>
                <w:rFonts w:hint="eastAsia" w:ascii="宋体" w:hAnsi="宋体"/>
                <w:b/>
                <w:bCs/>
                <w:w w:val="95"/>
                <w:sz w:val="32"/>
              </w:rPr>
              <w:t>采   购   人：</w:t>
            </w:r>
          </w:p>
        </w:tc>
        <w:tc>
          <w:tcPr>
            <w:tcW w:w="6686" w:type="dxa"/>
            <w:vAlign w:val="bottom"/>
          </w:tcPr>
          <w:p>
            <w:pPr>
              <w:pStyle w:val="17"/>
              <w:spacing w:line="360" w:lineRule="auto"/>
              <w:rPr>
                <w:rFonts w:hAnsi="宋体"/>
                <w:b/>
                <w:bCs/>
                <w:w w:val="95"/>
                <w:sz w:val="32"/>
                <w:szCs w:val="24"/>
              </w:rPr>
            </w:pPr>
            <w:r>
              <w:rPr>
                <w:rFonts w:hint="eastAsia" w:hAnsi="宋体"/>
                <w:b/>
                <w:bCs/>
                <w:w w:val="95"/>
                <w:sz w:val="32"/>
                <w:szCs w:val="24"/>
              </w:rPr>
              <w:t>连云港高级中学</w:t>
            </w:r>
          </w:p>
        </w:tc>
      </w:tr>
      <w:tr>
        <w:tblPrEx>
          <w:tblBorders>
            <w:top w:val="single" w:color="auto"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648" w:type="dxa"/>
          </w:tcPr>
          <w:p>
            <w:pPr>
              <w:spacing w:line="360" w:lineRule="auto"/>
              <w:rPr>
                <w:rFonts w:ascii="宋体" w:hAnsi="宋体"/>
                <w:b/>
                <w:bCs/>
                <w:w w:val="95"/>
                <w:sz w:val="32"/>
              </w:rPr>
            </w:pPr>
          </w:p>
        </w:tc>
        <w:tc>
          <w:tcPr>
            <w:tcW w:w="2520" w:type="dxa"/>
            <w:vAlign w:val="center"/>
          </w:tcPr>
          <w:p>
            <w:pPr>
              <w:spacing w:line="360" w:lineRule="auto"/>
              <w:jc w:val="right"/>
              <w:rPr>
                <w:rFonts w:ascii="宋体" w:hAnsi="宋体"/>
              </w:rPr>
            </w:pPr>
            <w:r>
              <w:rPr>
                <w:rFonts w:hint="eastAsia" w:ascii="宋体" w:hAnsi="宋体"/>
                <w:b/>
                <w:bCs/>
                <w:w w:val="95"/>
                <w:sz w:val="32"/>
              </w:rPr>
              <w:t>采购集采机构：</w:t>
            </w:r>
          </w:p>
        </w:tc>
        <w:tc>
          <w:tcPr>
            <w:tcW w:w="6686" w:type="dxa"/>
            <w:vAlign w:val="center"/>
          </w:tcPr>
          <w:p>
            <w:pPr>
              <w:pStyle w:val="17"/>
              <w:spacing w:line="360" w:lineRule="auto"/>
              <w:rPr>
                <w:rFonts w:hAnsi="宋体"/>
                <w:b/>
                <w:bCs/>
                <w:spacing w:val="20"/>
                <w:w w:val="95"/>
                <w:sz w:val="32"/>
              </w:rPr>
            </w:pPr>
            <w:r>
              <w:rPr>
                <w:rFonts w:hint="eastAsia" w:hAnsi="宋体"/>
                <w:b/>
                <w:bCs/>
                <w:spacing w:val="20"/>
                <w:w w:val="95"/>
                <w:sz w:val="32"/>
              </w:rPr>
              <w:t>连云港市政府采购中心</w:t>
            </w:r>
          </w:p>
        </w:tc>
      </w:tr>
    </w:tbl>
    <w:p>
      <w:pPr>
        <w:pStyle w:val="17"/>
        <w:jc w:val="center"/>
        <w:rPr>
          <w:rFonts w:hAnsi="宋体"/>
          <w:b/>
          <w:bCs/>
          <w:w w:val="95"/>
          <w:sz w:val="32"/>
        </w:rPr>
      </w:pPr>
    </w:p>
    <w:p>
      <w:pPr>
        <w:pStyle w:val="17"/>
        <w:spacing w:line="360" w:lineRule="auto"/>
        <w:ind w:right="-993" w:rightChars="-473"/>
        <w:jc w:val="center"/>
        <w:rPr>
          <w:rFonts w:hAnsi="宋体"/>
        </w:rPr>
      </w:pPr>
      <w:r>
        <w:rPr>
          <w:rFonts w:hint="eastAsia" w:hAnsi="宋体"/>
          <w:b/>
          <w:bCs/>
          <w:w w:val="95"/>
          <w:sz w:val="32"/>
          <w:szCs w:val="24"/>
        </w:rPr>
        <w:t>2018年6月</w:t>
      </w:r>
      <w:r>
        <w:rPr>
          <w:rFonts w:hAnsi="宋体"/>
          <w:b/>
          <w:bCs/>
          <w:spacing w:val="20"/>
          <w:w w:val="95"/>
          <w:sz w:val="32"/>
        </w:rPr>
        <w:br w:type="page"/>
      </w:r>
    </w:p>
    <w:p>
      <w:pPr>
        <w:pStyle w:val="17"/>
        <w:jc w:val="center"/>
        <w:rPr>
          <w:rFonts w:hAnsi="宋体"/>
          <w:sz w:val="44"/>
        </w:rPr>
      </w:pPr>
      <w:r>
        <w:rPr>
          <w:rFonts w:hint="eastAsia" w:hAnsi="宋体"/>
          <w:sz w:val="44"/>
        </w:rPr>
        <w:t>目     录</w:t>
      </w:r>
    </w:p>
    <w:p>
      <w:pPr>
        <w:pStyle w:val="24"/>
        <w:tabs>
          <w:tab w:val="right" w:leader="underscore" w:pos="9628"/>
        </w:tabs>
        <w:rPr>
          <w:b w:val="0"/>
          <w:bCs w:val="0"/>
          <w:i w:val="0"/>
          <w:iCs w:val="0"/>
          <w:sz w:val="21"/>
          <w:szCs w:val="22"/>
        </w:rPr>
      </w:pPr>
      <w:r>
        <w:rPr>
          <w:rFonts w:hAnsi="宋体"/>
          <w:i w:val="0"/>
          <w:sz w:val="44"/>
        </w:rPr>
        <w:fldChar w:fldCharType="begin"/>
      </w:r>
      <w:r>
        <w:rPr>
          <w:rFonts w:hAnsi="宋体"/>
          <w:i w:val="0"/>
          <w:sz w:val="44"/>
        </w:rPr>
        <w:instrText xml:space="preserve"> </w:instrText>
      </w:r>
      <w:r>
        <w:rPr>
          <w:rFonts w:hint="eastAsia" w:hAnsi="宋体"/>
          <w:i w:val="0"/>
          <w:sz w:val="44"/>
        </w:rPr>
        <w:instrText xml:space="preserve">TOC \o "1-1" \h \z \u</w:instrText>
      </w:r>
      <w:r>
        <w:rPr>
          <w:rFonts w:hAnsi="宋体"/>
          <w:i w:val="0"/>
          <w:sz w:val="44"/>
        </w:rPr>
        <w:instrText xml:space="preserve"> </w:instrText>
      </w:r>
      <w:r>
        <w:rPr>
          <w:rFonts w:hAnsi="宋体"/>
          <w:i w:val="0"/>
          <w:sz w:val="44"/>
        </w:rPr>
        <w:fldChar w:fldCharType="separate"/>
      </w:r>
      <w:r>
        <w:fldChar w:fldCharType="begin"/>
      </w:r>
      <w:r>
        <w:instrText xml:space="preserve"> HYPERLINK \l "_Toc494123931" </w:instrText>
      </w:r>
      <w:r>
        <w:fldChar w:fldCharType="separate"/>
      </w:r>
      <w:r>
        <w:rPr>
          <w:rStyle w:val="39"/>
          <w:rFonts w:hint="eastAsia" w:hAnsi="宋体"/>
        </w:rPr>
        <w:t>第一章</w:t>
      </w:r>
      <w:r>
        <w:rPr>
          <w:rStyle w:val="39"/>
          <w:rFonts w:hAnsi="宋体"/>
        </w:rPr>
        <w:t xml:space="preserve">  </w:t>
      </w:r>
      <w:r>
        <w:rPr>
          <w:rStyle w:val="39"/>
          <w:rFonts w:hint="eastAsia" w:hAnsi="宋体"/>
        </w:rPr>
        <w:t>投标邀请</w:t>
      </w:r>
      <w:r>
        <w:tab/>
      </w:r>
      <w:r>
        <w:fldChar w:fldCharType="begin"/>
      </w:r>
      <w:r>
        <w:instrText xml:space="preserve"> PAGEREF _Toc494123931 \h </w:instrText>
      </w:r>
      <w:r>
        <w:fldChar w:fldCharType="separate"/>
      </w:r>
      <w:r>
        <w:t>2</w:t>
      </w:r>
      <w:r>
        <w:fldChar w:fldCharType="end"/>
      </w:r>
      <w:r>
        <w:fldChar w:fldCharType="end"/>
      </w:r>
    </w:p>
    <w:p>
      <w:pPr>
        <w:pStyle w:val="24"/>
        <w:tabs>
          <w:tab w:val="right" w:leader="underscore" w:pos="9628"/>
        </w:tabs>
        <w:rPr>
          <w:b w:val="0"/>
          <w:bCs w:val="0"/>
          <w:i w:val="0"/>
          <w:iCs w:val="0"/>
          <w:sz w:val="21"/>
          <w:szCs w:val="22"/>
        </w:rPr>
      </w:pPr>
      <w:r>
        <w:fldChar w:fldCharType="begin"/>
      </w:r>
      <w:r>
        <w:instrText xml:space="preserve"> HYPERLINK \l "_Toc494123932" </w:instrText>
      </w:r>
      <w:r>
        <w:fldChar w:fldCharType="separate"/>
      </w:r>
      <w:r>
        <w:rPr>
          <w:rStyle w:val="39"/>
          <w:rFonts w:hint="eastAsia" w:hAnsi="宋体"/>
        </w:rPr>
        <w:t>第二章</w:t>
      </w:r>
      <w:r>
        <w:rPr>
          <w:rStyle w:val="39"/>
          <w:rFonts w:hAnsi="宋体"/>
        </w:rPr>
        <w:t xml:space="preserve">  </w:t>
      </w:r>
      <w:r>
        <w:rPr>
          <w:rStyle w:val="39"/>
          <w:rFonts w:hint="eastAsia" w:hAnsi="宋体"/>
        </w:rPr>
        <w:t>投标人须知</w:t>
      </w:r>
      <w:r>
        <w:tab/>
      </w:r>
      <w:r>
        <w:fldChar w:fldCharType="begin"/>
      </w:r>
      <w:r>
        <w:instrText xml:space="preserve"> PAGEREF _Toc494123932 \h </w:instrText>
      </w:r>
      <w:r>
        <w:fldChar w:fldCharType="separate"/>
      </w:r>
      <w:r>
        <w:t>7</w:t>
      </w:r>
      <w:r>
        <w:fldChar w:fldCharType="end"/>
      </w:r>
      <w:r>
        <w:fldChar w:fldCharType="end"/>
      </w:r>
    </w:p>
    <w:p>
      <w:pPr>
        <w:pStyle w:val="24"/>
        <w:tabs>
          <w:tab w:val="right" w:leader="underscore" w:pos="9628"/>
        </w:tabs>
        <w:rPr>
          <w:b w:val="0"/>
          <w:bCs w:val="0"/>
          <w:i w:val="0"/>
          <w:iCs w:val="0"/>
          <w:sz w:val="21"/>
          <w:szCs w:val="22"/>
        </w:rPr>
      </w:pPr>
      <w:r>
        <w:fldChar w:fldCharType="begin"/>
      </w:r>
      <w:r>
        <w:instrText xml:space="preserve"> HYPERLINK \l "_Toc494123933" </w:instrText>
      </w:r>
      <w:r>
        <w:fldChar w:fldCharType="separate"/>
      </w:r>
      <w:r>
        <w:rPr>
          <w:rStyle w:val="39"/>
          <w:rFonts w:hint="eastAsia" w:hAnsi="宋体"/>
        </w:rPr>
        <w:t>第三章</w:t>
      </w:r>
      <w:r>
        <w:rPr>
          <w:rStyle w:val="39"/>
          <w:rFonts w:hAnsi="宋体"/>
        </w:rPr>
        <w:t xml:space="preserve">  </w:t>
      </w:r>
      <w:r>
        <w:rPr>
          <w:rStyle w:val="39"/>
          <w:rFonts w:hint="eastAsia" w:hAnsi="宋体"/>
        </w:rPr>
        <w:t>政府采购合同格式</w:t>
      </w:r>
      <w:r>
        <w:tab/>
      </w:r>
      <w:r>
        <w:fldChar w:fldCharType="begin"/>
      </w:r>
      <w:r>
        <w:instrText xml:space="preserve"> PAGEREF _Toc494123933 \h </w:instrText>
      </w:r>
      <w:r>
        <w:fldChar w:fldCharType="separate"/>
      </w:r>
      <w:r>
        <w:t>16</w:t>
      </w:r>
      <w:r>
        <w:fldChar w:fldCharType="end"/>
      </w:r>
      <w:r>
        <w:fldChar w:fldCharType="end"/>
      </w:r>
    </w:p>
    <w:p>
      <w:pPr>
        <w:pStyle w:val="24"/>
        <w:tabs>
          <w:tab w:val="right" w:leader="underscore" w:pos="9628"/>
        </w:tabs>
        <w:rPr>
          <w:b w:val="0"/>
          <w:bCs w:val="0"/>
          <w:i w:val="0"/>
          <w:iCs w:val="0"/>
          <w:sz w:val="21"/>
          <w:szCs w:val="22"/>
        </w:rPr>
      </w:pPr>
      <w:r>
        <w:fldChar w:fldCharType="begin"/>
      </w:r>
      <w:r>
        <w:instrText xml:space="preserve"> HYPERLINK \l "_Toc494123934" </w:instrText>
      </w:r>
      <w:r>
        <w:fldChar w:fldCharType="separate"/>
      </w:r>
      <w:r>
        <w:rPr>
          <w:rStyle w:val="39"/>
          <w:rFonts w:hint="eastAsia" w:hAnsi="宋体"/>
        </w:rPr>
        <w:t>第四章</w:t>
      </w:r>
      <w:r>
        <w:rPr>
          <w:rStyle w:val="39"/>
          <w:rFonts w:hAnsi="宋体"/>
        </w:rPr>
        <w:t xml:space="preserve">  </w:t>
      </w:r>
      <w:r>
        <w:rPr>
          <w:rStyle w:val="39"/>
          <w:rFonts w:hint="eastAsia" w:hAnsi="宋体"/>
        </w:rPr>
        <w:t>投标文件格式</w:t>
      </w:r>
      <w:r>
        <w:tab/>
      </w:r>
      <w:r>
        <w:fldChar w:fldCharType="begin"/>
      </w:r>
      <w:r>
        <w:instrText xml:space="preserve"> PAGEREF _Toc494123934 \h </w:instrText>
      </w:r>
      <w:r>
        <w:fldChar w:fldCharType="separate"/>
      </w:r>
      <w:r>
        <w:t>22</w:t>
      </w:r>
      <w:r>
        <w:fldChar w:fldCharType="end"/>
      </w:r>
      <w:r>
        <w:fldChar w:fldCharType="end"/>
      </w:r>
    </w:p>
    <w:p>
      <w:pPr>
        <w:pStyle w:val="24"/>
        <w:tabs>
          <w:tab w:val="right" w:leader="underscore" w:pos="9628"/>
        </w:tabs>
        <w:rPr>
          <w:b w:val="0"/>
          <w:bCs w:val="0"/>
          <w:i w:val="0"/>
          <w:iCs w:val="0"/>
          <w:sz w:val="21"/>
          <w:szCs w:val="22"/>
        </w:rPr>
      </w:pPr>
      <w:r>
        <w:fldChar w:fldCharType="begin"/>
      </w:r>
      <w:r>
        <w:instrText xml:space="preserve"> HYPERLINK \l "_Toc494123935" </w:instrText>
      </w:r>
      <w:r>
        <w:fldChar w:fldCharType="separate"/>
      </w:r>
      <w:r>
        <w:rPr>
          <w:rStyle w:val="39"/>
          <w:rFonts w:hint="eastAsia" w:hAnsi="宋体"/>
        </w:rPr>
        <w:t>第五章</w:t>
      </w:r>
      <w:r>
        <w:rPr>
          <w:rStyle w:val="39"/>
          <w:rFonts w:hAnsi="宋体"/>
        </w:rPr>
        <w:t xml:space="preserve">  </w:t>
      </w:r>
      <w:r>
        <w:rPr>
          <w:rStyle w:val="39"/>
          <w:rFonts w:hint="eastAsia" w:hAnsi="宋体"/>
        </w:rPr>
        <w:t>合同专用条款表</w:t>
      </w:r>
      <w:r>
        <w:tab/>
      </w:r>
      <w:r>
        <w:fldChar w:fldCharType="begin"/>
      </w:r>
      <w:r>
        <w:instrText xml:space="preserve"> PAGEREF _Toc494123935 \h </w:instrText>
      </w:r>
      <w:r>
        <w:fldChar w:fldCharType="separate"/>
      </w:r>
      <w:r>
        <w:t>40</w:t>
      </w:r>
      <w:r>
        <w:fldChar w:fldCharType="end"/>
      </w:r>
      <w:r>
        <w:fldChar w:fldCharType="end"/>
      </w:r>
    </w:p>
    <w:p>
      <w:pPr>
        <w:pStyle w:val="24"/>
        <w:tabs>
          <w:tab w:val="right" w:leader="underscore" w:pos="9628"/>
        </w:tabs>
        <w:rPr>
          <w:b w:val="0"/>
          <w:bCs w:val="0"/>
          <w:i w:val="0"/>
          <w:iCs w:val="0"/>
          <w:sz w:val="21"/>
          <w:szCs w:val="22"/>
        </w:rPr>
      </w:pPr>
      <w:r>
        <w:fldChar w:fldCharType="begin"/>
      </w:r>
      <w:r>
        <w:instrText xml:space="preserve"> HYPERLINK \l "_Toc494123936" </w:instrText>
      </w:r>
      <w:r>
        <w:fldChar w:fldCharType="separate"/>
      </w:r>
      <w:r>
        <w:rPr>
          <w:rStyle w:val="39"/>
          <w:rFonts w:hint="eastAsia" w:hAnsi="宋体"/>
        </w:rPr>
        <w:t>第六章</w:t>
      </w:r>
      <w:r>
        <w:rPr>
          <w:rStyle w:val="39"/>
          <w:rFonts w:hAnsi="宋体"/>
        </w:rPr>
        <w:t xml:space="preserve">  </w:t>
      </w:r>
      <w:r>
        <w:rPr>
          <w:rStyle w:val="39"/>
          <w:rFonts w:hint="eastAsia" w:hAnsi="宋体"/>
        </w:rPr>
        <w:t>项目需求</w:t>
      </w:r>
      <w:r>
        <w:tab/>
      </w:r>
      <w:r>
        <w:fldChar w:fldCharType="begin"/>
      </w:r>
      <w:r>
        <w:instrText xml:space="preserve"> PAGEREF _Toc494123936 \h </w:instrText>
      </w:r>
      <w:r>
        <w:fldChar w:fldCharType="separate"/>
      </w:r>
      <w:r>
        <w:t>41</w:t>
      </w:r>
      <w:r>
        <w:fldChar w:fldCharType="end"/>
      </w:r>
      <w:r>
        <w:fldChar w:fldCharType="end"/>
      </w:r>
    </w:p>
    <w:p>
      <w:pPr>
        <w:pStyle w:val="24"/>
        <w:tabs>
          <w:tab w:val="right" w:leader="underscore" w:pos="9628"/>
        </w:tabs>
        <w:rPr>
          <w:b w:val="0"/>
          <w:bCs w:val="0"/>
          <w:i w:val="0"/>
          <w:iCs w:val="0"/>
          <w:sz w:val="21"/>
          <w:szCs w:val="22"/>
        </w:rPr>
      </w:pPr>
      <w:r>
        <w:fldChar w:fldCharType="begin"/>
      </w:r>
      <w:r>
        <w:instrText xml:space="preserve"> HYPERLINK \l "_Toc494123937" </w:instrText>
      </w:r>
      <w:r>
        <w:fldChar w:fldCharType="separate"/>
      </w:r>
      <w:r>
        <w:rPr>
          <w:rStyle w:val="39"/>
          <w:rFonts w:hint="eastAsia" w:hAnsi="宋体"/>
        </w:rPr>
        <w:t>第七章</w:t>
      </w:r>
      <w:r>
        <w:rPr>
          <w:rStyle w:val="39"/>
          <w:rFonts w:hAnsi="宋体"/>
        </w:rPr>
        <w:t xml:space="preserve">  </w:t>
      </w:r>
      <w:r>
        <w:rPr>
          <w:rStyle w:val="39"/>
          <w:rFonts w:hint="eastAsia" w:hAnsi="宋体"/>
        </w:rPr>
        <w:t>评标办法</w:t>
      </w:r>
      <w:r>
        <w:tab/>
      </w:r>
      <w:r>
        <w:fldChar w:fldCharType="begin"/>
      </w:r>
      <w:r>
        <w:instrText xml:space="preserve"> PAGEREF _Toc494123937 \h </w:instrText>
      </w:r>
      <w:r>
        <w:fldChar w:fldCharType="separate"/>
      </w:r>
      <w:r>
        <w:t>72</w:t>
      </w:r>
      <w:r>
        <w:fldChar w:fldCharType="end"/>
      </w:r>
      <w:r>
        <w:fldChar w:fldCharType="end"/>
      </w:r>
    </w:p>
    <w:p>
      <w:pPr>
        <w:pStyle w:val="17"/>
        <w:rPr>
          <w:rFonts w:hAnsi="宋体"/>
          <w:sz w:val="44"/>
        </w:rPr>
      </w:pPr>
      <w:r>
        <w:rPr>
          <w:rFonts w:hAnsi="宋体"/>
          <w:sz w:val="44"/>
        </w:rPr>
        <w:fldChar w:fldCharType="end"/>
      </w:r>
    </w:p>
    <w:p>
      <w:pPr>
        <w:pStyle w:val="17"/>
        <w:jc w:val="center"/>
        <w:outlineLvl w:val="0"/>
        <w:rPr>
          <w:rFonts w:hAnsi="宋体"/>
          <w:b/>
          <w:sz w:val="36"/>
        </w:rPr>
      </w:pPr>
      <w:bookmarkStart w:id="0" w:name="_Toc139967210"/>
      <w:bookmarkStart w:id="1" w:name="_Toc139966426"/>
      <w:r>
        <w:rPr>
          <w:rFonts w:hAnsi="宋体"/>
          <w:b/>
          <w:sz w:val="36"/>
        </w:rPr>
        <w:br w:type="page"/>
      </w:r>
      <w:bookmarkStart w:id="2" w:name="_Toc494123931"/>
      <w:r>
        <w:rPr>
          <w:rFonts w:hint="eastAsia" w:hAnsi="宋体"/>
          <w:b/>
          <w:sz w:val="36"/>
        </w:rPr>
        <w:t>第一章  投标邀请</w:t>
      </w:r>
      <w:bookmarkEnd w:id="2"/>
    </w:p>
    <w:p>
      <w:pPr>
        <w:spacing w:line="360" w:lineRule="auto"/>
        <w:ind w:firstLine="480" w:firstLineChars="200"/>
        <w:rPr>
          <w:rFonts w:ascii="宋体" w:hAnsi="宋体"/>
          <w:sz w:val="24"/>
        </w:rPr>
      </w:pPr>
      <w:r>
        <w:rPr>
          <w:rFonts w:hint="eastAsia" w:ascii="宋体" w:hAnsi="宋体"/>
          <w:sz w:val="24"/>
        </w:rPr>
        <w:t>连云港市政府采购中心受</w:t>
      </w:r>
      <w:r>
        <w:rPr>
          <w:rFonts w:hint="eastAsia" w:ascii="宋体" w:hAnsi="宋体"/>
          <w:b/>
          <w:bCs/>
          <w:sz w:val="24"/>
        </w:rPr>
        <w:t>连云港高级中学</w:t>
      </w:r>
      <w:r>
        <w:rPr>
          <w:rFonts w:hint="eastAsia" w:ascii="宋体" w:hAnsi="宋体"/>
          <w:sz w:val="24"/>
        </w:rPr>
        <w:t>委托，就</w:t>
      </w:r>
      <w:r>
        <w:rPr>
          <w:rFonts w:hint="eastAsia" w:ascii="宋体" w:hAnsi="宋体"/>
          <w:b/>
          <w:bCs/>
          <w:sz w:val="24"/>
        </w:rPr>
        <w:t>生物教育课程基地设备采购项目</w:t>
      </w:r>
      <w:r>
        <w:rPr>
          <w:rFonts w:hint="eastAsia" w:ascii="宋体" w:hAnsi="宋体"/>
          <w:sz w:val="24"/>
        </w:rPr>
        <w:t>进行公开招标采购，现欢迎符合相关条件的供应商参加投标。</w:t>
      </w:r>
    </w:p>
    <w:p>
      <w:pPr>
        <w:pStyle w:val="26"/>
        <w:jc w:val="left"/>
        <w:rPr>
          <w:sz w:val="24"/>
          <w:szCs w:val="24"/>
        </w:rPr>
      </w:pPr>
      <w:r>
        <w:rPr>
          <w:rFonts w:hint="eastAsia"/>
          <w:sz w:val="24"/>
          <w:szCs w:val="24"/>
        </w:rPr>
        <w:t>一、项目信息</w:t>
      </w:r>
    </w:p>
    <w:p>
      <w:pPr>
        <w:tabs>
          <w:tab w:val="left" w:pos="900"/>
        </w:tabs>
        <w:spacing w:line="360" w:lineRule="auto"/>
        <w:ind w:left="-4" w:leftChars="-2" w:firstLine="537" w:firstLineChars="223"/>
        <w:rPr>
          <w:rFonts w:ascii="宋体" w:hAnsi="宋体"/>
          <w:b/>
          <w:bCs/>
          <w:sz w:val="24"/>
        </w:rPr>
      </w:pPr>
      <w:r>
        <w:rPr>
          <w:rFonts w:hint="eastAsia" w:ascii="宋体" w:hAnsi="宋体"/>
          <w:b/>
          <w:bCs/>
          <w:sz w:val="24"/>
        </w:rPr>
        <w:t>项目名称：生物教育课程基地设备采购项目</w:t>
      </w:r>
    </w:p>
    <w:p>
      <w:pPr>
        <w:tabs>
          <w:tab w:val="left" w:pos="900"/>
        </w:tabs>
        <w:spacing w:line="360" w:lineRule="auto"/>
        <w:ind w:left="-4" w:leftChars="-2" w:firstLine="537" w:firstLineChars="223"/>
        <w:rPr>
          <w:rFonts w:ascii="宋体" w:hAnsi="宋体"/>
          <w:b/>
          <w:bCs/>
          <w:sz w:val="24"/>
        </w:rPr>
      </w:pPr>
      <w:r>
        <w:rPr>
          <w:rFonts w:hint="eastAsia" w:ascii="宋体" w:hAnsi="宋体"/>
          <w:b/>
          <w:bCs/>
          <w:sz w:val="24"/>
        </w:rPr>
        <w:t>项目编号：20180511003</w:t>
      </w:r>
    </w:p>
    <w:p>
      <w:pPr>
        <w:tabs>
          <w:tab w:val="left" w:pos="900"/>
        </w:tabs>
        <w:spacing w:line="360" w:lineRule="auto"/>
        <w:ind w:left="-4" w:leftChars="-2" w:firstLine="537" w:firstLineChars="223"/>
        <w:rPr>
          <w:rFonts w:ascii="宋体" w:hAnsi="宋体"/>
          <w:b/>
          <w:bCs/>
          <w:sz w:val="24"/>
        </w:rPr>
      </w:pPr>
      <w:r>
        <w:rPr>
          <w:rFonts w:hint="eastAsia" w:ascii="宋体" w:hAnsi="宋体"/>
          <w:b/>
          <w:bCs/>
          <w:sz w:val="24"/>
        </w:rPr>
        <w:t>预算金额：120万元</w:t>
      </w:r>
    </w:p>
    <w:p>
      <w:pPr>
        <w:pStyle w:val="26"/>
        <w:jc w:val="left"/>
        <w:rPr>
          <w:sz w:val="24"/>
          <w:szCs w:val="24"/>
        </w:rPr>
      </w:pPr>
      <w:r>
        <w:rPr>
          <w:rFonts w:hint="eastAsia"/>
          <w:sz w:val="24"/>
          <w:szCs w:val="24"/>
        </w:rPr>
        <w:t>二、采购需求</w:t>
      </w:r>
    </w:p>
    <w:p>
      <w:pPr>
        <w:adjustRightInd w:val="0"/>
        <w:snapToGrid w:val="0"/>
        <w:spacing w:line="440" w:lineRule="exact"/>
        <w:ind w:firstLine="480" w:firstLineChars="200"/>
        <w:rPr>
          <w:rFonts w:ascii="宋体" w:hAnsi="宋体"/>
          <w:bCs/>
          <w:sz w:val="24"/>
        </w:rPr>
      </w:pPr>
      <w:r>
        <w:rPr>
          <w:rFonts w:hint="eastAsia" w:ascii="宋体" w:hAnsi="宋体"/>
          <w:sz w:val="24"/>
        </w:rPr>
        <w:t>江苏省连云港高级中学生物教育课程基地设备采购项目,</w:t>
      </w:r>
      <w:r>
        <w:rPr>
          <w:rFonts w:hint="eastAsia" w:ascii="仿宋_GB2312" w:hAnsi="仿宋_GB2312" w:eastAsia="仿宋_GB2312" w:cs="仿宋_GB2312"/>
          <w:sz w:val="24"/>
        </w:rPr>
        <w:t xml:space="preserve"> </w:t>
      </w:r>
      <w:r>
        <w:rPr>
          <w:rFonts w:hint="eastAsia" w:ascii="宋体" w:hAnsi="宋体"/>
          <w:sz w:val="24"/>
        </w:rPr>
        <w:t>具体包括：生物教育课程基地软硬件供货、安装调试、系统集成、运行维护、项目验收以及技术培训和不少于壹年7*24小时免费设备保修和售后现场技术服务等。</w:t>
      </w:r>
    </w:p>
    <w:p>
      <w:pPr>
        <w:adjustRightInd w:val="0"/>
        <w:snapToGrid w:val="0"/>
        <w:spacing w:line="440" w:lineRule="exact"/>
        <w:ind w:firstLine="482" w:firstLineChars="200"/>
        <w:rPr>
          <w:rFonts w:ascii="宋体" w:hAnsi="宋体"/>
          <w:color w:val="000000"/>
          <w:sz w:val="28"/>
          <w:szCs w:val="28"/>
        </w:rPr>
      </w:pPr>
      <w:r>
        <w:rPr>
          <w:rFonts w:hint="eastAsia" w:ascii="宋体" w:hAnsi="宋体"/>
          <w:b/>
          <w:bCs/>
          <w:color w:val="000000"/>
          <w:sz w:val="24"/>
        </w:rPr>
        <w:t>对项目采购需求部分的询问、质疑请与采购人联</w:t>
      </w:r>
      <w:bookmarkStart w:id="21" w:name="_GoBack"/>
      <w:bookmarkEnd w:id="21"/>
      <w:r>
        <w:rPr>
          <w:rFonts w:hint="eastAsia" w:ascii="宋体" w:hAnsi="宋体"/>
          <w:b/>
          <w:bCs/>
          <w:color w:val="000000"/>
          <w:sz w:val="24"/>
        </w:rPr>
        <w:t>系，由采购人负责答复。</w:t>
      </w:r>
    </w:p>
    <w:p>
      <w:pPr>
        <w:pStyle w:val="26"/>
        <w:jc w:val="left"/>
        <w:rPr>
          <w:sz w:val="24"/>
          <w:szCs w:val="24"/>
        </w:rPr>
      </w:pPr>
      <w:r>
        <w:rPr>
          <w:rFonts w:hint="eastAsia"/>
          <w:sz w:val="24"/>
          <w:szCs w:val="24"/>
        </w:rPr>
        <w:t>三、投标人的资格要求</w:t>
      </w:r>
    </w:p>
    <w:p>
      <w:pPr>
        <w:snapToGrid w:val="0"/>
        <w:spacing w:line="440" w:lineRule="exact"/>
        <w:ind w:firstLine="360" w:firstLineChars="150"/>
        <w:rPr>
          <w:rFonts w:ascii="宋体" w:hAnsi="宋体" w:cs="Arial"/>
          <w:sz w:val="24"/>
        </w:rPr>
      </w:pPr>
      <w:r>
        <w:rPr>
          <w:rFonts w:hint="eastAsia" w:ascii="宋体" w:hAnsi="宋体" w:cs="Arial"/>
          <w:sz w:val="24"/>
        </w:rPr>
        <w:t>（一）</w:t>
      </w:r>
      <w:r>
        <w:rPr>
          <w:rFonts w:ascii="宋体" w:hAnsi="宋体" w:cs="Arial"/>
          <w:sz w:val="24"/>
        </w:rPr>
        <w:t>符合政府采购法第二十二条规定</w:t>
      </w:r>
      <w:r>
        <w:rPr>
          <w:rFonts w:hint="eastAsia" w:ascii="宋体" w:hAnsi="宋体" w:cs="Arial"/>
          <w:sz w:val="24"/>
        </w:rPr>
        <w:t>的条件，并按本招标文件第二章14.1.2要求提供材料。</w:t>
      </w:r>
    </w:p>
    <w:p>
      <w:pPr>
        <w:snapToGrid w:val="0"/>
        <w:spacing w:line="560" w:lineRule="exact"/>
        <w:ind w:firstLine="480" w:firstLineChars="200"/>
        <w:rPr>
          <w:rFonts w:ascii="宋体" w:hAnsi="宋体" w:cs="Arial"/>
          <w:color w:val="000000"/>
          <w:sz w:val="24"/>
        </w:rPr>
      </w:pPr>
      <w:r>
        <w:rPr>
          <w:rFonts w:hint="eastAsia" w:ascii="宋体" w:hAnsi="宋体" w:cs="Arial"/>
          <w:color w:val="000000"/>
          <w:sz w:val="24"/>
        </w:rPr>
        <w:t>1、</w:t>
      </w:r>
      <w:r>
        <w:rPr>
          <w:rFonts w:ascii="宋体" w:hAnsi="宋体" w:cs="Arial"/>
          <w:color w:val="000000"/>
          <w:sz w:val="24"/>
        </w:rPr>
        <w:t>法人或者其他组织的营业执照等证明文件，自然人的身份证明；</w:t>
      </w:r>
      <w:r>
        <w:rPr>
          <w:rFonts w:hint="eastAsia" w:ascii="宋体" w:hAnsi="宋体" w:cs="Arial"/>
          <w:b/>
          <w:bCs/>
          <w:color w:val="000000"/>
          <w:sz w:val="24"/>
        </w:rPr>
        <w:t>（复印件）</w:t>
      </w:r>
      <w:r>
        <w:rPr>
          <w:rFonts w:ascii="宋体" w:hAnsi="宋体" w:cs="Arial"/>
          <w:color w:val="000000"/>
          <w:sz w:val="24"/>
        </w:rPr>
        <w:br w:type="textWrapping"/>
      </w:r>
      <w:r>
        <w:rPr>
          <w:rFonts w:ascii="宋体" w:hAnsi="宋体" w:cs="Arial"/>
          <w:color w:val="000000"/>
          <w:sz w:val="24"/>
        </w:rPr>
        <w:t>　　</w:t>
      </w:r>
      <w:r>
        <w:rPr>
          <w:rFonts w:hint="eastAsia" w:ascii="宋体" w:hAnsi="宋体" w:cs="Arial"/>
          <w:color w:val="000000"/>
          <w:sz w:val="24"/>
        </w:rPr>
        <w:t>2、</w:t>
      </w:r>
      <w:r>
        <w:rPr>
          <w:rFonts w:hint="eastAsia" w:hAnsi="宋体" w:cs="宋体"/>
          <w:kern w:val="0"/>
          <w:sz w:val="24"/>
        </w:rPr>
        <w:t>2017年度（或2016年度）</w:t>
      </w:r>
      <w:r>
        <w:rPr>
          <w:rFonts w:hint="eastAsia" w:hAnsi="宋体" w:cs="宋体"/>
          <w:b/>
          <w:bCs/>
          <w:kern w:val="0"/>
          <w:sz w:val="24"/>
        </w:rPr>
        <w:t>经审计</w:t>
      </w:r>
      <w:r>
        <w:rPr>
          <w:rFonts w:hint="eastAsia" w:hAnsi="宋体" w:cs="宋体"/>
          <w:kern w:val="0"/>
          <w:sz w:val="24"/>
        </w:rPr>
        <w:t>的</w:t>
      </w:r>
      <w:r>
        <w:rPr>
          <w:rFonts w:hAnsi="宋体" w:cs="宋体"/>
          <w:kern w:val="0"/>
          <w:sz w:val="24"/>
        </w:rPr>
        <w:t>财务状况报告</w:t>
      </w:r>
      <w:r>
        <w:rPr>
          <w:rFonts w:hint="eastAsia" w:hAnsi="宋体" w:cs="宋体"/>
          <w:kern w:val="0"/>
          <w:sz w:val="24"/>
        </w:rPr>
        <w:t>（成立不满一年不需提供）</w:t>
      </w:r>
      <w:r>
        <w:rPr>
          <w:rFonts w:hint="eastAsia" w:ascii="宋体" w:hAnsi="宋体" w:cs="Arial"/>
          <w:color w:val="000000"/>
          <w:sz w:val="24"/>
        </w:rPr>
        <w:t>；</w:t>
      </w:r>
      <w:r>
        <w:rPr>
          <w:rFonts w:hint="eastAsia" w:ascii="宋体" w:hAnsi="宋体" w:cs="Arial"/>
          <w:b/>
          <w:bCs/>
          <w:color w:val="000000"/>
          <w:sz w:val="24"/>
        </w:rPr>
        <w:t>（复印件）</w:t>
      </w:r>
    </w:p>
    <w:p>
      <w:pPr>
        <w:snapToGrid w:val="0"/>
        <w:spacing w:line="560" w:lineRule="exact"/>
        <w:ind w:firstLine="480" w:firstLineChars="200"/>
        <w:rPr>
          <w:rFonts w:ascii="宋体" w:hAnsi="宋体" w:cs="Arial"/>
          <w:color w:val="000000"/>
          <w:sz w:val="24"/>
        </w:rPr>
      </w:pPr>
      <w:r>
        <w:rPr>
          <w:rFonts w:hint="eastAsia" w:ascii="宋体" w:hAnsi="宋体" w:cs="Arial"/>
          <w:color w:val="000000"/>
          <w:sz w:val="24"/>
        </w:rPr>
        <w:t>3、</w:t>
      </w:r>
      <w:r>
        <w:rPr>
          <w:rFonts w:ascii="宋体" w:hAnsi="宋体" w:cs="Arial"/>
          <w:color w:val="000000"/>
          <w:sz w:val="24"/>
        </w:rPr>
        <w:t>依法缴纳税收和社会保障资金的相关材料；</w:t>
      </w:r>
      <w:r>
        <w:rPr>
          <w:rFonts w:hint="eastAsia" w:ascii="宋体" w:hAnsi="宋体" w:cs="Arial"/>
          <w:b/>
          <w:bCs/>
          <w:color w:val="000000"/>
          <w:sz w:val="24"/>
        </w:rPr>
        <w:t>（复印件）</w:t>
      </w:r>
      <w:r>
        <w:rPr>
          <w:rFonts w:ascii="宋体" w:hAnsi="宋体" w:cs="Arial"/>
          <w:color w:val="000000"/>
          <w:sz w:val="24"/>
        </w:rPr>
        <w:br w:type="textWrapping"/>
      </w:r>
      <w:r>
        <w:rPr>
          <w:rFonts w:ascii="宋体" w:hAnsi="宋体" w:cs="Arial"/>
          <w:color w:val="000000"/>
          <w:sz w:val="24"/>
        </w:rPr>
        <w:t>　　</w:t>
      </w:r>
      <w:r>
        <w:rPr>
          <w:rFonts w:hint="eastAsia" w:ascii="宋体" w:hAnsi="宋体" w:cs="Arial"/>
          <w:color w:val="000000"/>
          <w:sz w:val="24"/>
        </w:rPr>
        <w:t>4、</w:t>
      </w:r>
      <w:r>
        <w:rPr>
          <w:rFonts w:ascii="宋体" w:hAnsi="宋体" w:cs="Arial"/>
          <w:color w:val="000000"/>
          <w:sz w:val="24"/>
        </w:rPr>
        <w:t>具备履行合同所必需的设备和专业技术能力的证明材料；</w:t>
      </w:r>
      <w:r>
        <w:rPr>
          <w:rFonts w:hint="eastAsia" w:ascii="宋体" w:hAnsi="宋体" w:cs="Arial"/>
          <w:b/>
          <w:bCs/>
          <w:color w:val="000000"/>
          <w:sz w:val="24"/>
        </w:rPr>
        <w:t>（复印件）</w:t>
      </w:r>
      <w:r>
        <w:rPr>
          <w:rFonts w:ascii="宋体" w:hAnsi="宋体" w:cs="Arial"/>
          <w:color w:val="000000"/>
          <w:sz w:val="24"/>
        </w:rPr>
        <w:br w:type="textWrapping"/>
      </w:r>
      <w:r>
        <w:rPr>
          <w:rFonts w:ascii="宋体" w:hAnsi="宋体" w:cs="Arial"/>
          <w:color w:val="000000"/>
          <w:sz w:val="24"/>
        </w:rPr>
        <w:t>　　</w:t>
      </w:r>
      <w:r>
        <w:rPr>
          <w:rFonts w:hint="eastAsia" w:ascii="宋体" w:hAnsi="宋体" w:cs="Arial"/>
          <w:color w:val="000000"/>
          <w:sz w:val="24"/>
        </w:rPr>
        <w:t>5、</w:t>
      </w:r>
      <w:r>
        <w:rPr>
          <w:rFonts w:ascii="宋体" w:hAnsi="宋体" w:cs="Arial"/>
          <w:color w:val="000000"/>
          <w:sz w:val="24"/>
        </w:rPr>
        <w:t>参加政府采购活动前三年内在经营活动中没有重大违法记录的书面声明；</w:t>
      </w:r>
      <w:r>
        <w:rPr>
          <w:rFonts w:hint="eastAsia" w:ascii="宋体" w:hAnsi="宋体" w:cs="Arial"/>
          <w:b/>
          <w:bCs/>
          <w:color w:val="000000"/>
          <w:sz w:val="24"/>
        </w:rPr>
        <w:t>（原件，见格式5）</w:t>
      </w:r>
    </w:p>
    <w:p>
      <w:pPr>
        <w:snapToGrid w:val="0"/>
        <w:spacing w:line="440" w:lineRule="exact"/>
        <w:ind w:firstLine="360" w:firstLineChars="150"/>
        <w:rPr>
          <w:rFonts w:ascii="宋体" w:hAnsi="宋体" w:cs="Arial"/>
          <w:sz w:val="24"/>
        </w:rPr>
      </w:pPr>
      <w:r>
        <w:rPr>
          <w:rFonts w:hint="eastAsia" w:ascii="宋体" w:hAnsi="宋体" w:cs="Arial"/>
          <w:sz w:val="24"/>
          <w:szCs w:val="20"/>
        </w:rPr>
        <w:t>（二）</w:t>
      </w:r>
      <w:r>
        <w:rPr>
          <w:rFonts w:hint="eastAsia" w:ascii="宋体" w:hAnsi="宋体" w:cs="Arial"/>
          <w:sz w:val="24"/>
        </w:rPr>
        <w:t>本项目不接受联合体投标，中标后不允许分包或转包。</w:t>
      </w:r>
    </w:p>
    <w:p>
      <w:pPr>
        <w:spacing w:line="460" w:lineRule="exact"/>
        <w:ind w:firstLine="360" w:firstLineChars="150"/>
        <w:rPr>
          <w:rFonts w:ascii="宋体" w:hAnsi="宋体" w:cs="Arial"/>
          <w:sz w:val="24"/>
        </w:rPr>
      </w:pPr>
      <w:r>
        <w:rPr>
          <w:rFonts w:hint="eastAsia" w:ascii="宋体" w:hAnsi="宋体" w:cs="Arial"/>
          <w:sz w:val="24"/>
        </w:rPr>
        <w:t>（三）</w:t>
      </w:r>
      <w:r>
        <w:rPr>
          <w:rFonts w:hint="eastAsia" w:ascii="宋体" w:hAnsi="宋体" w:cs="Arial"/>
          <w:sz w:val="24"/>
          <w:lang w:val="zh-CN"/>
        </w:rPr>
        <w:t>根据《最高人民检察院关于开展行贿犯罪档案查询工作的管理规定</w:t>
      </w:r>
      <w:r>
        <w:rPr>
          <w:rFonts w:hint="eastAsia" w:ascii="宋体" w:hAnsi="宋体" w:cs="Arial"/>
          <w:sz w:val="24"/>
        </w:rPr>
        <w:t>（</w:t>
      </w:r>
      <w:r>
        <w:rPr>
          <w:rFonts w:hint="eastAsia" w:ascii="宋体" w:hAnsi="宋体" w:cs="Arial"/>
          <w:sz w:val="24"/>
          <w:lang w:val="zh-CN"/>
        </w:rPr>
        <w:t>暂行</w:t>
      </w:r>
      <w:r>
        <w:rPr>
          <w:rFonts w:hint="eastAsia" w:ascii="宋体" w:hAnsi="宋体" w:cs="Arial"/>
          <w:sz w:val="24"/>
        </w:rPr>
        <w:t>）</w:t>
      </w:r>
      <w:r>
        <w:rPr>
          <w:rFonts w:hint="eastAsia" w:ascii="宋体" w:hAnsi="宋体" w:cs="Arial"/>
          <w:sz w:val="24"/>
          <w:lang w:val="zh-CN"/>
        </w:rPr>
        <w:t>》的规定</w:t>
      </w:r>
      <w:r>
        <w:rPr>
          <w:rFonts w:hint="eastAsia" w:ascii="宋体" w:hAnsi="宋体" w:cs="Arial"/>
          <w:sz w:val="24"/>
        </w:rPr>
        <w:t>，</w:t>
      </w:r>
      <w:r>
        <w:rPr>
          <w:rFonts w:hint="eastAsia" w:ascii="宋体" w:hAnsi="宋体" w:cs="Arial"/>
          <w:sz w:val="24"/>
          <w:lang w:val="zh-CN"/>
        </w:rPr>
        <w:t>提交无行贿犯罪记录的证明</w:t>
      </w:r>
      <w:r>
        <w:rPr>
          <w:rFonts w:hint="eastAsia" w:ascii="宋体" w:hAnsi="宋体" w:cs="Arial"/>
          <w:sz w:val="24"/>
        </w:rPr>
        <w:t>（</w:t>
      </w:r>
      <w:r>
        <w:rPr>
          <w:rFonts w:hint="eastAsia" w:ascii="宋体" w:hAnsi="宋体" w:cs="Arial"/>
          <w:sz w:val="24"/>
          <w:lang w:val="zh-CN"/>
        </w:rPr>
        <w:t>行贿犯罪档案查询地点</w:t>
      </w:r>
      <w:r>
        <w:rPr>
          <w:rFonts w:hint="eastAsia" w:ascii="宋体" w:hAnsi="宋体" w:cs="Arial"/>
          <w:sz w:val="24"/>
        </w:rPr>
        <w:t>：</w:t>
      </w:r>
      <w:r>
        <w:rPr>
          <w:rFonts w:hint="eastAsia" w:ascii="宋体" w:hAnsi="宋体" w:cs="Arial"/>
          <w:sz w:val="24"/>
          <w:lang w:val="zh-CN"/>
        </w:rPr>
        <w:t>连云港市人民检察院职务犯罪预防处或投标人当地检察机关</w:t>
      </w:r>
      <w:r>
        <w:rPr>
          <w:rFonts w:hint="eastAsia" w:ascii="宋体" w:hAnsi="宋体" w:cs="Arial"/>
          <w:sz w:val="24"/>
        </w:rPr>
        <w:t>，</w:t>
      </w:r>
      <w:r>
        <w:rPr>
          <w:rFonts w:hint="eastAsia" w:ascii="宋体" w:hAnsi="宋体" w:cs="Arial"/>
          <w:sz w:val="24"/>
          <w:lang w:val="zh-CN"/>
        </w:rPr>
        <w:t>连云港市人民检察院联系电话</w:t>
      </w:r>
      <w:r>
        <w:rPr>
          <w:rFonts w:hint="eastAsia" w:ascii="宋体" w:hAnsi="宋体" w:cs="Arial"/>
          <w:sz w:val="24"/>
        </w:rPr>
        <w:t>：0518-85683570</w:t>
      </w:r>
      <w:r>
        <w:rPr>
          <w:rFonts w:hint="eastAsia" w:ascii="宋体" w:hAnsi="宋体" w:cs="Arial"/>
          <w:sz w:val="24"/>
          <w:lang w:val="zh-CN"/>
        </w:rPr>
        <w:t>或登录</w:t>
      </w:r>
      <w:r>
        <w:rPr>
          <w:rFonts w:hint="eastAsia" w:ascii="宋体" w:hAnsi="宋体" w:cs="Arial"/>
          <w:sz w:val="24"/>
        </w:rPr>
        <w:t>http://218.94.117.252:12301/</w:t>
      </w:r>
      <w:r>
        <w:rPr>
          <w:rFonts w:hint="eastAsia" w:ascii="宋体" w:hAnsi="宋体" w:cs="Arial"/>
          <w:sz w:val="24"/>
          <w:lang w:val="zh-CN"/>
        </w:rPr>
        <w:t>查询</w:t>
      </w:r>
      <w:r>
        <w:rPr>
          <w:rFonts w:hint="eastAsia" w:ascii="宋体" w:hAnsi="宋体" w:cs="Arial"/>
          <w:sz w:val="24"/>
        </w:rPr>
        <w:t>）；</w:t>
      </w:r>
    </w:p>
    <w:p>
      <w:pPr>
        <w:snapToGrid w:val="0"/>
        <w:spacing w:line="560" w:lineRule="exact"/>
        <w:ind w:firstLine="360" w:firstLineChars="150"/>
        <w:rPr>
          <w:rFonts w:ascii="宋体" w:hAnsi="宋体" w:cs="Arial"/>
          <w:sz w:val="24"/>
        </w:rPr>
      </w:pPr>
      <w:r>
        <w:rPr>
          <w:rFonts w:hint="eastAsia" w:ascii="宋体" w:hAnsi="宋体" w:cs="Arial"/>
          <w:sz w:val="24"/>
        </w:rPr>
        <w:t>（四）</w:t>
      </w:r>
      <w:r>
        <w:rPr>
          <w:rFonts w:ascii="宋体" w:hAnsi="宋体" w:cs="Arial"/>
          <w:sz w:val="24"/>
        </w:rPr>
        <w:t>响应文件递交截止前被“信用中国”网站（www.creditchina.gov.cn）、中国政府采购网（www.ccgp.gov.cn）、“信用江苏”网站（www.jscredit.gov.cn）列入失信执行人、重大税收违法案件当事人名单、政府采购严重违法失信行为记录名单的投标人，拒绝其参与政府采购活动。</w:t>
      </w:r>
      <w:r>
        <w:rPr>
          <w:rFonts w:hint="eastAsia" w:ascii="宋体" w:hAnsi="宋体" w:cs="Arial"/>
          <w:sz w:val="24"/>
        </w:rPr>
        <w:t>采购人或采购集采机构，应当在投标文件资格审查阶段，通过“信用中国”网站、中国政府采购网、“信用江苏”网站，对供应商信用记录情况进行查询，查询结果页面打印留存。</w:t>
      </w:r>
    </w:p>
    <w:p>
      <w:pPr>
        <w:snapToGrid w:val="0"/>
        <w:spacing w:line="560" w:lineRule="exact"/>
        <w:ind w:firstLine="360" w:firstLineChars="150"/>
        <w:rPr>
          <w:rFonts w:ascii="宋体" w:hAnsi="宋体"/>
        </w:rPr>
      </w:pPr>
      <w:r>
        <w:rPr>
          <w:rFonts w:hint="eastAsia" w:ascii="宋体" w:hAnsi="宋体" w:cs="Arial"/>
          <w:sz w:val="24"/>
        </w:rPr>
        <w:t>（五）法律法规规定的其他条件。</w:t>
      </w:r>
    </w:p>
    <w:p>
      <w:pPr>
        <w:pStyle w:val="26"/>
        <w:jc w:val="left"/>
        <w:rPr>
          <w:sz w:val="24"/>
          <w:szCs w:val="24"/>
        </w:rPr>
      </w:pPr>
      <w:r>
        <w:rPr>
          <w:rFonts w:hint="eastAsia"/>
          <w:sz w:val="24"/>
          <w:szCs w:val="24"/>
        </w:rPr>
        <w:t>四、投标报名</w:t>
      </w:r>
    </w:p>
    <w:p>
      <w:pPr>
        <w:spacing w:line="360" w:lineRule="auto"/>
        <w:ind w:firstLine="600" w:firstLineChars="250"/>
        <w:rPr>
          <w:rFonts w:ascii="宋体" w:hAnsi="宋体" w:cs="宋体"/>
          <w:sz w:val="24"/>
        </w:rPr>
      </w:pPr>
      <w:r>
        <w:rPr>
          <w:rFonts w:hint="eastAsia" w:ascii="宋体" w:hAnsi="宋体" w:cs="宋体"/>
          <w:sz w:val="24"/>
        </w:rPr>
        <w:t>按“投标报名表”（附后）的格式填写并加盖公章于</w:t>
      </w:r>
      <w:r>
        <w:rPr>
          <w:rFonts w:hint="eastAsia" w:ascii="宋体" w:hAnsi="宋体"/>
          <w:sz w:val="24"/>
        </w:rPr>
        <w:t>2018年6月</w:t>
      </w:r>
      <w:r>
        <w:rPr>
          <w:rFonts w:hint="eastAsia" w:ascii="宋体" w:hAnsi="宋体"/>
          <w:sz w:val="24"/>
          <w:lang w:val="en-US" w:eastAsia="zh-CN"/>
        </w:rPr>
        <w:t>28</w:t>
      </w:r>
      <w:r>
        <w:rPr>
          <w:rFonts w:hint="eastAsia" w:ascii="宋体" w:hAnsi="宋体"/>
          <w:sz w:val="24"/>
        </w:rPr>
        <w:t>日18：00</w:t>
      </w:r>
      <w:r>
        <w:rPr>
          <w:rFonts w:hint="eastAsia" w:ascii="宋体" w:hAnsi="宋体" w:cs="宋体"/>
          <w:sz w:val="24"/>
        </w:rPr>
        <w:t>前传真或递交至连云港市凌州东路9号B座403室项目联系人处。如采用传真方式，发送完毕后，请来电确认本中心已收到，否则如遇网络故障导致传送或接收失败，本中心不承担任何责任。</w:t>
      </w:r>
    </w:p>
    <w:p>
      <w:pPr>
        <w:pStyle w:val="26"/>
        <w:jc w:val="left"/>
        <w:rPr>
          <w:sz w:val="24"/>
          <w:szCs w:val="24"/>
        </w:rPr>
      </w:pPr>
      <w:r>
        <w:rPr>
          <w:rFonts w:hint="eastAsia"/>
          <w:sz w:val="24"/>
          <w:szCs w:val="24"/>
        </w:rPr>
        <w:t>五、招标文件发布信息</w:t>
      </w:r>
    </w:p>
    <w:p>
      <w:pPr>
        <w:spacing w:line="360" w:lineRule="auto"/>
        <w:ind w:left="2693" w:leftChars="270" w:hanging="2126" w:hangingChars="886"/>
        <w:rPr>
          <w:rFonts w:ascii="宋体" w:hAnsi="宋体"/>
          <w:sz w:val="24"/>
        </w:rPr>
      </w:pPr>
      <w:r>
        <w:rPr>
          <w:rFonts w:hint="eastAsia" w:ascii="宋体" w:hAnsi="宋体"/>
          <w:sz w:val="24"/>
        </w:rPr>
        <w:t>招标文件发布时间：</w:t>
      </w:r>
      <w:r>
        <w:rPr>
          <w:rFonts w:hint="eastAsia" w:ascii="宋体" w:hAnsi="宋体"/>
          <w:sz w:val="24"/>
          <w:highlight w:val="yellow"/>
        </w:rPr>
        <w:t>2018年6月</w:t>
      </w:r>
      <w:r>
        <w:rPr>
          <w:rFonts w:hint="eastAsia" w:ascii="宋体" w:hAnsi="宋体"/>
          <w:sz w:val="24"/>
          <w:highlight w:val="yellow"/>
          <w:lang w:val="en-US" w:eastAsia="zh-CN"/>
        </w:rPr>
        <w:t>21</w:t>
      </w:r>
      <w:r>
        <w:rPr>
          <w:rFonts w:hint="eastAsia" w:ascii="宋体" w:hAnsi="宋体"/>
          <w:sz w:val="24"/>
          <w:highlight w:val="yellow"/>
        </w:rPr>
        <w:t>日</w:t>
      </w:r>
      <w:r>
        <w:rPr>
          <w:rFonts w:hint="eastAsia" w:ascii="宋体" w:hAnsi="宋体"/>
          <w:sz w:val="24"/>
        </w:rPr>
        <w:t>起</w:t>
      </w:r>
    </w:p>
    <w:p>
      <w:pPr>
        <w:spacing w:line="360" w:lineRule="auto"/>
        <w:ind w:left="2693" w:leftChars="270" w:hanging="2126" w:hangingChars="886"/>
        <w:rPr>
          <w:rFonts w:ascii="宋体" w:hAnsi="宋体"/>
          <w:sz w:val="24"/>
        </w:rPr>
      </w:pPr>
      <w:r>
        <w:rPr>
          <w:rFonts w:hint="eastAsia" w:ascii="宋体" w:hAnsi="宋体"/>
          <w:sz w:val="24"/>
        </w:rPr>
        <w:t>招标文件下载截止时间：</w:t>
      </w:r>
      <w:r>
        <w:rPr>
          <w:rFonts w:hint="eastAsia" w:ascii="宋体" w:hAnsi="宋体"/>
          <w:sz w:val="24"/>
          <w:highlight w:val="yellow"/>
        </w:rPr>
        <w:t>2018年6月2</w:t>
      </w:r>
      <w:r>
        <w:rPr>
          <w:rFonts w:hint="eastAsia" w:ascii="宋体" w:hAnsi="宋体"/>
          <w:sz w:val="24"/>
          <w:highlight w:val="yellow"/>
          <w:lang w:val="en-US" w:eastAsia="zh-CN"/>
        </w:rPr>
        <w:t>8</w:t>
      </w:r>
      <w:r>
        <w:rPr>
          <w:rFonts w:hint="eastAsia" w:ascii="宋体" w:hAnsi="宋体"/>
          <w:sz w:val="24"/>
          <w:highlight w:val="yellow"/>
        </w:rPr>
        <w:t>日</w:t>
      </w:r>
      <w:r>
        <w:rPr>
          <w:rFonts w:hint="eastAsia" w:ascii="宋体" w:hAnsi="宋体"/>
          <w:sz w:val="24"/>
        </w:rPr>
        <w:t>18:00止</w:t>
      </w:r>
    </w:p>
    <w:p>
      <w:pPr>
        <w:spacing w:line="360" w:lineRule="auto"/>
        <w:ind w:firstLine="600" w:firstLineChars="250"/>
        <w:rPr>
          <w:rFonts w:ascii="宋体" w:hAnsi="宋体" w:cs="宋体"/>
          <w:sz w:val="24"/>
        </w:rPr>
      </w:pPr>
      <w:r>
        <w:rPr>
          <w:rFonts w:hint="eastAsia" w:ascii="宋体" w:hAnsi="宋体" w:cs="宋体"/>
          <w:sz w:val="24"/>
        </w:rPr>
        <w:t>招标文件下载地点：进入“连云港市政府采购网（</w:t>
      </w:r>
      <w:r>
        <w:rPr>
          <w:rFonts w:hint="eastAsia" w:ascii="宋体" w:hAnsi="宋体"/>
          <w:sz w:val="24"/>
        </w:rPr>
        <w:t>http://www.lygzfcg.gov.cn</w:t>
      </w:r>
      <w:r>
        <w:rPr>
          <w:rFonts w:hint="eastAsia" w:ascii="宋体" w:hAnsi="宋体" w:cs="宋体"/>
          <w:sz w:val="24"/>
        </w:rPr>
        <w:t>）”，页面顶部“请登录”，用注册成功的用户名和密码登陆下载。联系电话：0518-85529769（连云港市财政局政府采购处）。</w:t>
      </w:r>
    </w:p>
    <w:p>
      <w:pPr>
        <w:spacing w:line="360" w:lineRule="auto"/>
        <w:ind w:firstLine="600" w:firstLineChars="250"/>
        <w:rPr>
          <w:rFonts w:ascii="宋体" w:hAnsi="宋体" w:cs="宋体"/>
          <w:sz w:val="24"/>
        </w:rPr>
      </w:pPr>
      <w:r>
        <w:rPr>
          <w:rFonts w:hint="eastAsia" w:ascii="宋体" w:hAnsi="宋体" w:cs="宋体"/>
          <w:sz w:val="24"/>
        </w:rPr>
        <w:t>招标文件售价：无。</w:t>
      </w:r>
    </w:p>
    <w:p>
      <w:pPr>
        <w:pStyle w:val="26"/>
        <w:jc w:val="left"/>
        <w:rPr>
          <w:sz w:val="24"/>
          <w:szCs w:val="24"/>
        </w:rPr>
      </w:pPr>
      <w:r>
        <w:rPr>
          <w:rFonts w:hint="eastAsia"/>
          <w:sz w:val="24"/>
          <w:szCs w:val="24"/>
        </w:rPr>
        <w:t>六、公告期限</w:t>
      </w:r>
    </w:p>
    <w:p>
      <w:pPr>
        <w:tabs>
          <w:tab w:val="left" w:pos="900"/>
        </w:tabs>
        <w:spacing w:line="360" w:lineRule="auto"/>
        <w:ind w:firstLine="480" w:firstLineChars="200"/>
        <w:rPr>
          <w:rFonts w:ascii="宋体" w:hAnsi="宋体"/>
          <w:bCs/>
          <w:sz w:val="24"/>
        </w:rPr>
      </w:pPr>
      <w:r>
        <w:rPr>
          <w:rFonts w:hint="eastAsia" w:ascii="宋体" w:hAnsi="宋体"/>
          <w:bCs/>
          <w:sz w:val="24"/>
        </w:rPr>
        <w:t>本项目招标公告期限为5个工作日。</w:t>
      </w:r>
    </w:p>
    <w:p>
      <w:pPr>
        <w:tabs>
          <w:tab w:val="left" w:pos="900"/>
        </w:tabs>
        <w:spacing w:line="360" w:lineRule="auto"/>
        <w:ind w:firstLine="480" w:firstLineChars="200"/>
        <w:rPr>
          <w:rFonts w:ascii="宋体" w:hAnsi="宋体" w:cs="宋体"/>
          <w:sz w:val="24"/>
        </w:rPr>
      </w:pPr>
      <w:r>
        <w:rPr>
          <w:rFonts w:hint="eastAsia" w:ascii="宋体" w:hAnsi="宋体"/>
          <w:bCs/>
          <w:sz w:val="24"/>
        </w:rPr>
        <w:t>招标公告起始时间：</w:t>
      </w:r>
      <w:r>
        <w:rPr>
          <w:rFonts w:hint="eastAsia" w:ascii="宋体" w:hAnsi="宋体"/>
          <w:sz w:val="24"/>
          <w:highlight w:val="yellow"/>
        </w:rPr>
        <w:t>2018年6月</w:t>
      </w:r>
      <w:r>
        <w:rPr>
          <w:rFonts w:hint="eastAsia" w:ascii="宋体" w:hAnsi="宋体"/>
          <w:sz w:val="24"/>
          <w:highlight w:val="yellow"/>
          <w:lang w:val="en-US" w:eastAsia="zh-CN"/>
        </w:rPr>
        <w:t>21</w:t>
      </w:r>
      <w:r>
        <w:rPr>
          <w:rFonts w:hint="eastAsia" w:ascii="宋体" w:hAnsi="宋体"/>
          <w:sz w:val="24"/>
          <w:highlight w:val="yellow"/>
        </w:rPr>
        <w:t>日</w:t>
      </w:r>
    </w:p>
    <w:p>
      <w:pPr>
        <w:tabs>
          <w:tab w:val="left" w:pos="900"/>
        </w:tabs>
        <w:spacing w:line="360" w:lineRule="auto"/>
        <w:ind w:firstLine="480" w:firstLineChars="200"/>
        <w:rPr>
          <w:rFonts w:ascii="宋体" w:hAnsi="宋体"/>
          <w:bCs/>
          <w:sz w:val="24"/>
        </w:rPr>
      </w:pPr>
      <w:r>
        <w:rPr>
          <w:rFonts w:hint="eastAsia" w:ascii="宋体" w:hAnsi="宋体" w:cs="宋体"/>
          <w:sz w:val="24"/>
        </w:rPr>
        <w:t>招标公告截止时间：</w:t>
      </w:r>
      <w:r>
        <w:rPr>
          <w:rFonts w:hint="eastAsia" w:ascii="宋体" w:hAnsi="宋体"/>
          <w:sz w:val="24"/>
          <w:highlight w:val="yellow"/>
        </w:rPr>
        <w:t xml:space="preserve">2018年6月 </w:t>
      </w:r>
      <w:r>
        <w:rPr>
          <w:rFonts w:hint="eastAsia" w:ascii="宋体" w:hAnsi="宋体"/>
          <w:sz w:val="24"/>
          <w:highlight w:val="yellow"/>
          <w:lang w:val="en-US" w:eastAsia="zh-CN"/>
        </w:rPr>
        <w:t>28</w:t>
      </w:r>
      <w:r>
        <w:rPr>
          <w:rFonts w:hint="eastAsia" w:ascii="宋体" w:hAnsi="宋体"/>
          <w:sz w:val="24"/>
          <w:highlight w:val="yellow"/>
        </w:rPr>
        <w:t>日</w:t>
      </w:r>
      <w:r>
        <w:rPr>
          <w:rFonts w:hint="eastAsia" w:ascii="宋体" w:hAnsi="宋体" w:cs="宋体"/>
          <w:sz w:val="24"/>
        </w:rPr>
        <w:t>18:00</w:t>
      </w:r>
    </w:p>
    <w:p>
      <w:pPr>
        <w:pStyle w:val="26"/>
        <w:jc w:val="left"/>
        <w:rPr>
          <w:sz w:val="24"/>
          <w:szCs w:val="24"/>
        </w:rPr>
      </w:pPr>
      <w:r>
        <w:rPr>
          <w:rFonts w:hint="eastAsia"/>
          <w:sz w:val="24"/>
          <w:szCs w:val="24"/>
        </w:rPr>
        <w:t>七、投标与开标信息</w:t>
      </w:r>
    </w:p>
    <w:p>
      <w:pPr>
        <w:spacing w:line="360" w:lineRule="auto"/>
        <w:ind w:firstLine="480" w:firstLineChars="200"/>
        <w:rPr>
          <w:rFonts w:ascii="宋体" w:hAnsi="宋体" w:cs="宋体"/>
          <w:sz w:val="24"/>
        </w:rPr>
      </w:pPr>
      <w:r>
        <w:rPr>
          <w:rFonts w:hint="eastAsia" w:ascii="宋体" w:hAnsi="宋体" w:cs="宋体"/>
          <w:sz w:val="24"/>
        </w:rPr>
        <w:t>1、投标文件制作份数要求：</w:t>
      </w:r>
    </w:p>
    <w:p>
      <w:pPr>
        <w:spacing w:line="360" w:lineRule="auto"/>
        <w:ind w:firstLine="480" w:firstLineChars="200"/>
        <w:rPr>
          <w:rFonts w:ascii="宋体" w:hAnsi="宋体" w:cs="宋体"/>
          <w:sz w:val="24"/>
        </w:rPr>
      </w:pPr>
      <w:r>
        <w:rPr>
          <w:rFonts w:hint="eastAsia" w:ascii="宋体" w:hAnsi="宋体" w:cs="宋体"/>
          <w:sz w:val="24"/>
        </w:rPr>
        <w:t>报价文件：正本1份，副本4份</w:t>
      </w:r>
    </w:p>
    <w:p>
      <w:pPr>
        <w:spacing w:line="360" w:lineRule="auto"/>
        <w:ind w:firstLine="480" w:firstLineChars="200"/>
        <w:rPr>
          <w:rFonts w:ascii="宋体" w:hAnsi="宋体" w:cs="宋体"/>
          <w:sz w:val="24"/>
        </w:rPr>
      </w:pPr>
      <w:r>
        <w:rPr>
          <w:rFonts w:hint="eastAsia" w:ascii="宋体" w:hAnsi="宋体" w:cs="宋体"/>
          <w:sz w:val="24"/>
        </w:rPr>
        <w:t>资格审查文件：正本1份，副本4份</w:t>
      </w:r>
    </w:p>
    <w:p>
      <w:pPr>
        <w:spacing w:line="360" w:lineRule="auto"/>
        <w:ind w:firstLine="480" w:firstLineChars="200"/>
        <w:rPr>
          <w:rFonts w:ascii="宋体" w:hAnsi="宋体" w:cs="宋体"/>
          <w:sz w:val="24"/>
        </w:rPr>
      </w:pPr>
      <w:r>
        <w:rPr>
          <w:rFonts w:hint="eastAsia" w:ascii="宋体" w:hAnsi="宋体" w:cs="宋体"/>
          <w:sz w:val="24"/>
        </w:rPr>
        <w:t>商务技术文件：正本1份，副本4份</w:t>
      </w:r>
    </w:p>
    <w:p>
      <w:pPr>
        <w:spacing w:line="360" w:lineRule="auto"/>
        <w:ind w:firstLine="480" w:firstLineChars="200"/>
        <w:rPr>
          <w:rFonts w:ascii="宋体" w:hAnsi="宋体" w:cs="宋体"/>
          <w:sz w:val="24"/>
        </w:rPr>
      </w:pPr>
      <w:r>
        <w:rPr>
          <w:rFonts w:hint="eastAsia" w:ascii="宋体" w:hAnsi="宋体" w:cs="宋体"/>
          <w:sz w:val="24"/>
        </w:rPr>
        <w:t>2、投标文件接收时间与地点</w:t>
      </w:r>
    </w:p>
    <w:p>
      <w:pPr>
        <w:spacing w:line="360" w:lineRule="auto"/>
        <w:ind w:firstLine="480" w:firstLineChars="200"/>
        <w:rPr>
          <w:rFonts w:ascii="宋体" w:hAnsi="宋体" w:cs="宋体"/>
          <w:sz w:val="24"/>
        </w:rPr>
      </w:pPr>
      <w:r>
        <w:rPr>
          <w:rFonts w:hint="eastAsia" w:ascii="宋体" w:hAnsi="宋体" w:cs="宋体"/>
          <w:sz w:val="24"/>
        </w:rPr>
        <w:t>开始接收时间：</w:t>
      </w:r>
      <w:r>
        <w:rPr>
          <w:rFonts w:hint="eastAsia" w:ascii="宋体" w:hAnsi="宋体"/>
          <w:sz w:val="24"/>
          <w:highlight w:val="yellow"/>
        </w:rPr>
        <w:t>2018年7月1</w:t>
      </w:r>
      <w:r>
        <w:rPr>
          <w:rFonts w:hint="eastAsia" w:ascii="宋体" w:hAnsi="宋体"/>
          <w:sz w:val="24"/>
          <w:highlight w:val="yellow"/>
          <w:lang w:val="en-US" w:eastAsia="zh-CN"/>
        </w:rPr>
        <w:t>2</w:t>
      </w:r>
      <w:r>
        <w:rPr>
          <w:rFonts w:hint="eastAsia" w:ascii="宋体" w:hAnsi="宋体"/>
          <w:sz w:val="24"/>
          <w:highlight w:val="yellow"/>
        </w:rPr>
        <w:t>日</w:t>
      </w:r>
      <w:r>
        <w:rPr>
          <w:rFonts w:hint="eastAsia" w:ascii="宋体" w:hAnsi="宋体" w:cs="宋体"/>
          <w:sz w:val="24"/>
        </w:rPr>
        <w:t xml:space="preserve">上午9:30 </w:t>
      </w:r>
    </w:p>
    <w:p>
      <w:pPr>
        <w:spacing w:line="360" w:lineRule="auto"/>
        <w:ind w:firstLine="480" w:firstLineChars="200"/>
        <w:rPr>
          <w:rFonts w:ascii="宋体" w:hAnsi="宋体" w:cs="宋体"/>
          <w:sz w:val="24"/>
        </w:rPr>
      </w:pPr>
      <w:r>
        <w:rPr>
          <w:rFonts w:hint="eastAsia" w:ascii="宋体" w:hAnsi="宋体" w:cs="宋体"/>
          <w:sz w:val="24"/>
        </w:rPr>
        <w:t>接收截止时间：</w:t>
      </w:r>
      <w:r>
        <w:rPr>
          <w:rFonts w:hint="eastAsia" w:ascii="宋体" w:hAnsi="宋体"/>
          <w:sz w:val="24"/>
          <w:highlight w:val="yellow"/>
        </w:rPr>
        <w:t>2018年7月1</w:t>
      </w:r>
      <w:r>
        <w:rPr>
          <w:rFonts w:hint="eastAsia" w:ascii="宋体" w:hAnsi="宋体"/>
          <w:sz w:val="24"/>
          <w:highlight w:val="yellow"/>
          <w:lang w:val="en-US" w:eastAsia="zh-CN"/>
        </w:rPr>
        <w:t>2</w:t>
      </w:r>
      <w:r>
        <w:rPr>
          <w:rFonts w:hint="eastAsia" w:ascii="宋体" w:hAnsi="宋体"/>
          <w:sz w:val="24"/>
          <w:highlight w:val="yellow"/>
        </w:rPr>
        <w:t>日</w:t>
      </w:r>
      <w:r>
        <w:rPr>
          <w:rFonts w:hint="eastAsia" w:ascii="宋体" w:hAnsi="宋体" w:cs="宋体"/>
          <w:sz w:val="24"/>
        </w:rPr>
        <w:t>上午10:00:00</w:t>
      </w:r>
    </w:p>
    <w:p>
      <w:pPr>
        <w:spacing w:line="360" w:lineRule="auto"/>
        <w:ind w:firstLine="480" w:firstLineChars="200"/>
        <w:rPr>
          <w:rFonts w:ascii="宋体" w:hAnsi="宋体" w:cs="宋体"/>
          <w:sz w:val="24"/>
        </w:rPr>
      </w:pPr>
      <w:r>
        <w:rPr>
          <w:rFonts w:hint="eastAsia" w:ascii="宋体" w:hAnsi="宋体" w:cs="宋体"/>
          <w:sz w:val="24"/>
        </w:rPr>
        <w:t>投标文件接收地点：连云港市凌洲东路9号C座二楼开标厅。（详见二楼电子信息屏幕）</w:t>
      </w:r>
    </w:p>
    <w:p>
      <w:pPr>
        <w:spacing w:line="360" w:lineRule="auto"/>
        <w:ind w:firstLine="480" w:firstLineChars="200"/>
        <w:rPr>
          <w:rFonts w:ascii="宋体" w:hAnsi="宋体" w:cs="宋体"/>
          <w:sz w:val="24"/>
        </w:rPr>
      </w:pPr>
      <w:r>
        <w:rPr>
          <w:rFonts w:hint="eastAsia" w:ascii="宋体" w:hAnsi="宋体" w:cs="宋体"/>
          <w:sz w:val="24"/>
        </w:rPr>
        <w:t>投标文件接收人：朱女士</w:t>
      </w:r>
    </w:p>
    <w:p>
      <w:pPr>
        <w:spacing w:line="360" w:lineRule="auto"/>
        <w:ind w:firstLine="480" w:firstLineChars="200"/>
        <w:rPr>
          <w:rFonts w:ascii="宋体" w:hAnsi="宋体" w:cs="宋体"/>
          <w:sz w:val="24"/>
        </w:rPr>
      </w:pPr>
      <w:r>
        <w:rPr>
          <w:rFonts w:hint="eastAsia" w:ascii="宋体" w:hAnsi="宋体" w:cs="宋体"/>
          <w:sz w:val="24"/>
        </w:rPr>
        <w:t>3、开标时间与地点</w:t>
      </w:r>
    </w:p>
    <w:p>
      <w:pPr>
        <w:spacing w:line="360" w:lineRule="auto"/>
        <w:ind w:firstLine="480" w:firstLineChars="200"/>
        <w:rPr>
          <w:rFonts w:ascii="宋体" w:hAnsi="宋体" w:cs="宋体"/>
          <w:sz w:val="24"/>
        </w:rPr>
      </w:pPr>
      <w:r>
        <w:rPr>
          <w:rFonts w:hint="eastAsia" w:ascii="宋体" w:hAnsi="宋体" w:cs="宋体"/>
          <w:sz w:val="24"/>
        </w:rPr>
        <w:t>开标时间：</w:t>
      </w:r>
      <w:r>
        <w:rPr>
          <w:rFonts w:hint="eastAsia" w:ascii="宋体" w:hAnsi="宋体"/>
          <w:sz w:val="24"/>
          <w:highlight w:val="yellow"/>
        </w:rPr>
        <w:t>2018年7月1</w:t>
      </w:r>
      <w:r>
        <w:rPr>
          <w:rFonts w:hint="eastAsia" w:ascii="宋体" w:hAnsi="宋体"/>
          <w:sz w:val="24"/>
          <w:highlight w:val="yellow"/>
          <w:lang w:val="en-US" w:eastAsia="zh-CN"/>
        </w:rPr>
        <w:t>2</w:t>
      </w:r>
      <w:r>
        <w:rPr>
          <w:rFonts w:hint="eastAsia" w:ascii="宋体" w:hAnsi="宋体"/>
          <w:sz w:val="24"/>
          <w:highlight w:val="yellow"/>
        </w:rPr>
        <w:t>日</w:t>
      </w:r>
      <w:r>
        <w:rPr>
          <w:rFonts w:hint="eastAsia" w:ascii="宋体" w:hAnsi="宋体" w:cs="宋体"/>
          <w:sz w:val="24"/>
        </w:rPr>
        <w:t>上午10:00:00</w:t>
      </w:r>
    </w:p>
    <w:p>
      <w:pPr>
        <w:spacing w:line="360" w:lineRule="auto"/>
        <w:ind w:firstLine="480" w:firstLineChars="200"/>
        <w:rPr>
          <w:rFonts w:ascii="宋体" w:hAnsi="宋体" w:cs="宋体"/>
          <w:sz w:val="24"/>
        </w:rPr>
      </w:pPr>
      <w:r>
        <w:rPr>
          <w:rFonts w:hint="eastAsia" w:ascii="宋体" w:hAnsi="宋体" w:cs="宋体"/>
          <w:sz w:val="24"/>
        </w:rPr>
        <w:t>开标地点：连云港市凌洲东路9号C座二楼开标厅。（详见二楼电子信息屏幕）</w:t>
      </w:r>
    </w:p>
    <w:p>
      <w:pPr>
        <w:pStyle w:val="26"/>
        <w:jc w:val="left"/>
        <w:rPr>
          <w:sz w:val="24"/>
          <w:szCs w:val="24"/>
        </w:rPr>
      </w:pPr>
      <w:r>
        <w:rPr>
          <w:rFonts w:hint="eastAsia"/>
          <w:sz w:val="24"/>
          <w:szCs w:val="24"/>
        </w:rPr>
        <w:t>八、本项目投标保证金要求</w:t>
      </w:r>
    </w:p>
    <w:p>
      <w:pPr>
        <w:spacing w:line="360" w:lineRule="auto"/>
        <w:ind w:firstLine="480" w:firstLineChars="200"/>
        <w:rPr>
          <w:rFonts w:ascii="宋体" w:hAnsi="宋体" w:cs="宋体"/>
          <w:sz w:val="24"/>
        </w:rPr>
      </w:pPr>
      <w:r>
        <w:rPr>
          <w:rFonts w:hint="eastAsia" w:ascii="宋体" w:hAnsi="宋体" w:cs="宋体"/>
          <w:sz w:val="24"/>
        </w:rPr>
        <w:t>本项目收取投标保证金。投标保证金金额为人民币：</w:t>
      </w:r>
      <w:r>
        <w:rPr>
          <w:rFonts w:hint="eastAsia" w:ascii="宋体" w:hAnsi="宋体" w:cs="宋体"/>
          <w:b/>
          <w:bCs/>
          <w:sz w:val="24"/>
          <w:u w:val="single"/>
        </w:rPr>
        <w:t>壹万贰仟圆整（¥12000元整）</w:t>
      </w:r>
      <w:r>
        <w:rPr>
          <w:rFonts w:hint="eastAsia" w:ascii="宋体" w:hAnsi="宋体" w:cs="宋体"/>
          <w:sz w:val="24"/>
        </w:rPr>
        <w:t>，投标保证金必须在投标文件提交截止期前一个工作日下班前交至连云港市政府采购中心账户，本中心不接受现金、支票、汇票等形式的保证金，请备注项目编号、标段等信息。</w:t>
      </w:r>
    </w:p>
    <w:p>
      <w:pPr>
        <w:spacing w:line="360" w:lineRule="auto"/>
        <w:ind w:firstLine="480" w:firstLineChars="200"/>
        <w:rPr>
          <w:rFonts w:ascii="宋体" w:hAnsi="宋体" w:cs="宋体"/>
          <w:sz w:val="24"/>
        </w:rPr>
      </w:pPr>
      <w:r>
        <w:rPr>
          <w:rFonts w:hint="eastAsia" w:ascii="宋体" w:hAnsi="宋体" w:cs="宋体"/>
          <w:sz w:val="24"/>
        </w:rPr>
        <w:t>户  名：连云港市政府采购中心</w:t>
      </w:r>
    </w:p>
    <w:p>
      <w:pPr>
        <w:spacing w:line="360" w:lineRule="auto"/>
        <w:ind w:firstLine="480" w:firstLineChars="200"/>
        <w:rPr>
          <w:rFonts w:ascii="宋体" w:hAnsi="宋体" w:cs="宋体"/>
          <w:sz w:val="24"/>
        </w:rPr>
      </w:pPr>
      <w:r>
        <w:rPr>
          <w:rFonts w:hint="eastAsia" w:ascii="宋体" w:hAnsi="宋体" w:cs="宋体"/>
          <w:sz w:val="24"/>
        </w:rPr>
        <w:t>开户行：交通银行连云港分行</w:t>
      </w:r>
    </w:p>
    <w:p>
      <w:pPr>
        <w:spacing w:line="360" w:lineRule="auto"/>
        <w:ind w:firstLine="480" w:firstLineChars="200"/>
        <w:rPr>
          <w:rFonts w:ascii="宋体" w:hAnsi="宋体" w:cs="宋体"/>
          <w:sz w:val="24"/>
        </w:rPr>
      </w:pPr>
      <w:r>
        <w:rPr>
          <w:rFonts w:hint="eastAsia" w:ascii="宋体" w:hAnsi="宋体" w:cs="宋体"/>
          <w:sz w:val="24"/>
        </w:rPr>
        <w:t>帐  号：327006000010149136377</w:t>
      </w:r>
    </w:p>
    <w:p>
      <w:pPr>
        <w:spacing w:line="360" w:lineRule="auto"/>
        <w:ind w:firstLine="480" w:firstLineChars="200"/>
        <w:rPr>
          <w:rFonts w:ascii="宋体" w:hAnsi="宋体" w:cs="宋体"/>
          <w:sz w:val="24"/>
        </w:rPr>
      </w:pPr>
      <w:r>
        <w:rPr>
          <w:rFonts w:hint="eastAsia" w:ascii="宋体" w:hAnsi="宋体" w:cs="宋体"/>
          <w:sz w:val="24"/>
        </w:rPr>
        <w:t>请投标人携带汇款凭证复印件（加盖公章），于开标前，至连云港市政府采购中心财务室对投标保证金进行确认，联系地址：连云港市海州区凌州东路9号B座402室，联系电话：0518-85868269。</w:t>
      </w:r>
    </w:p>
    <w:p>
      <w:pPr>
        <w:pStyle w:val="26"/>
        <w:jc w:val="left"/>
        <w:rPr>
          <w:sz w:val="24"/>
          <w:szCs w:val="24"/>
        </w:rPr>
      </w:pPr>
      <w:r>
        <w:rPr>
          <w:rFonts w:hint="eastAsia"/>
          <w:sz w:val="24"/>
          <w:szCs w:val="24"/>
        </w:rPr>
        <w:t>九、本次招标采购联系事项</w:t>
      </w:r>
    </w:p>
    <w:p>
      <w:pPr>
        <w:pStyle w:val="17"/>
        <w:spacing w:line="440" w:lineRule="exact"/>
        <w:ind w:firstLine="242" w:firstLineChars="101"/>
        <w:jc w:val="left"/>
        <w:rPr>
          <w:rFonts w:hAnsi="宋体" w:cs="宋体"/>
          <w:sz w:val="24"/>
        </w:rPr>
      </w:pPr>
      <w:r>
        <w:rPr>
          <w:rFonts w:hint="eastAsia" w:hAnsi="宋体" w:cs="宋体"/>
          <w:sz w:val="24"/>
        </w:rPr>
        <w:t>1、采购单位：</w:t>
      </w:r>
      <w:r>
        <w:rPr>
          <w:rFonts w:hint="eastAsia" w:hAnsi="宋体"/>
          <w:sz w:val="24"/>
          <w:szCs w:val="24"/>
        </w:rPr>
        <w:t>连云港高级中学</w:t>
      </w:r>
    </w:p>
    <w:p>
      <w:pPr>
        <w:pStyle w:val="17"/>
        <w:spacing w:line="440" w:lineRule="exact"/>
        <w:ind w:firstLine="242" w:firstLineChars="101"/>
        <w:jc w:val="left"/>
        <w:rPr>
          <w:rFonts w:hAnsi="宋体" w:cs="宋体"/>
          <w:sz w:val="24"/>
          <w:highlight w:val="none"/>
        </w:rPr>
      </w:pPr>
      <w:r>
        <w:rPr>
          <w:rFonts w:hint="eastAsia" w:hAnsi="宋体" w:cs="宋体"/>
          <w:sz w:val="24"/>
          <w:highlight w:val="none"/>
        </w:rPr>
        <w:t>联 系 人：陈维</w:t>
      </w:r>
    </w:p>
    <w:p>
      <w:pPr>
        <w:pStyle w:val="17"/>
        <w:spacing w:line="440" w:lineRule="exact"/>
        <w:ind w:firstLine="242" w:firstLineChars="101"/>
        <w:jc w:val="left"/>
        <w:rPr>
          <w:rFonts w:hAnsi="宋体" w:cs="宋体"/>
          <w:sz w:val="24"/>
          <w:highlight w:val="none"/>
        </w:rPr>
      </w:pPr>
      <w:r>
        <w:rPr>
          <w:rFonts w:hint="eastAsia" w:hAnsi="宋体" w:cs="宋体"/>
          <w:sz w:val="24"/>
          <w:highlight w:val="none"/>
        </w:rPr>
        <w:t>联系电话：18005135889</w:t>
      </w:r>
    </w:p>
    <w:p>
      <w:pPr>
        <w:pStyle w:val="17"/>
        <w:spacing w:line="440" w:lineRule="exact"/>
        <w:ind w:firstLine="242" w:firstLineChars="101"/>
        <w:jc w:val="left"/>
        <w:rPr>
          <w:rFonts w:hAnsi="宋体" w:cs="宋体"/>
          <w:sz w:val="24"/>
          <w:highlight w:val="none"/>
        </w:rPr>
      </w:pPr>
      <w:r>
        <w:rPr>
          <w:rFonts w:hint="eastAsia" w:hAnsi="宋体" w:cs="宋体"/>
          <w:sz w:val="24"/>
          <w:highlight w:val="none"/>
        </w:rPr>
        <w:t>联系地址：连云港市经济技术开发区东方大道18号</w:t>
      </w:r>
    </w:p>
    <w:p>
      <w:pPr>
        <w:pStyle w:val="17"/>
        <w:spacing w:line="440" w:lineRule="exact"/>
        <w:ind w:firstLine="242" w:firstLineChars="101"/>
        <w:jc w:val="left"/>
        <w:rPr>
          <w:rFonts w:hAnsi="宋体" w:cs="宋体"/>
          <w:sz w:val="24"/>
          <w:highlight w:val="none"/>
        </w:rPr>
      </w:pPr>
      <w:r>
        <w:rPr>
          <w:rFonts w:hint="eastAsia" w:hAnsi="宋体" w:cs="宋体"/>
          <w:sz w:val="24"/>
          <w:highlight w:val="none"/>
        </w:rPr>
        <w:t>2、连云港市政府采购中心</w:t>
      </w:r>
    </w:p>
    <w:p>
      <w:pPr>
        <w:pStyle w:val="17"/>
        <w:spacing w:line="440" w:lineRule="exact"/>
        <w:ind w:firstLine="242" w:firstLineChars="101"/>
        <w:jc w:val="left"/>
        <w:rPr>
          <w:rFonts w:hAnsi="宋体" w:cs="宋体"/>
          <w:sz w:val="24"/>
          <w:highlight w:val="none"/>
        </w:rPr>
      </w:pPr>
      <w:r>
        <w:rPr>
          <w:rFonts w:hint="eastAsia" w:hAnsi="宋体" w:cs="宋体"/>
          <w:sz w:val="24"/>
          <w:highlight w:val="none"/>
        </w:rPr>
        <w:t>联 系 人：朱女士</w:t>
      </w:r>
    </w:p>
    <w:p>
      <w:pPr>
        <w:pStyle w:val="17"/>
        <w:spacing w:line="440" w:lineRule="exact"/>
        <w:ind w:firstLine="242" w:firstLineChars="101"/>
        <w:jc w:val="left"/>
        <w:rPr>
          <w:rFonts w:hAnsi="宋体" w:cs="宋体"/>
          <w:sz w:val="24"/>
          <w:highlight w:val="none"/>
        </w:rPr>
      </w:pPr>
      <w:r>
        <w:rPr>
          <w:rFonts w:hint="eastAsia" w:hAnsi="宋体" w:cs="宋体"/>
          <w:sz w:val="24"/>
          <w:highlight w:val="none"/>
        </w:rPr>
        <w:t>联系电话：0518-85868206</w:t>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传真：0518-85868256</w:t>
      </w:r>
    </w:p>
    <w:p>
      <w:pPr>
        <w:pStyle w:val="17"/>
        <w:spacing w:line="440" w:lineRule="exact"/>
        <w:ind w:firstLine="242" w:firstLineChars="101"/>
        <w:jc w:val="left"/>
        <w:rPr>
          <w:rFonts w:hAnsi="宋体" w:cs="宋体"/>
          <w:sz w:val="24"/>
          <w:highlight w:val="none"/>
        </w:rPr>
      </w:pPr>
      <w:r>
        <w:rPr>
          <w:rFonts w:hint="eastAsia" w:hAnsi="宋体" w:cs="宋体"/>
          <w:sz w:val="24"/>
          <w:highlight w:val="none"/>
        </w:rPr>
        <w:t>联系地址：连云港市海州区凌州东路9号B座403室</w:t>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邮编：222003</w:t>
      </w:r>
    </w:p>
    <w:p>
      <w:pPr>
        <w:pStyle w:val="26"/>
        <w:jc w:val="left"/>
        <w:rPr>
          <w:sz w:val="24"/>
          <w:szCs w:val="24"/>
        </w:rPr>
      </w:pPr>
      <w:r>
        <w:rPr>
          <w:rFonts w:hint="eastAsia"/>
          <w:sz w:val="24"/>
          <w:szCs w:val="24"/>
        </w:rPr>
        <w:t>十、其他说明事项</w:t>
      </w:r>
    </w:p>
    <w:p>
      <w:pPr>
        <w:ind w:firstLine="420" w:firstLineChars="200"/>
        <w:rPr>
          <w:rFonts w:ascii="宋体" w:hAnsi="宋体"/>
        </w:rPr>
      </w:pPr>
      <w:r>
        <w:rPr>
          <w:rFonts w:hint="eastAsia" w:ascii="宋体" w:hAnsi="宋体"/>
        </w:rPr>
        <w:t>采购文件中标注★号的部分为实质性要求和条件，如不满足将按无效投标处理。</w:t>
      </w:r>
    </w:p>
    <w:p>
      <w:pPr>
        <w:rPr>
          <w:rFonts w:ascii="宋体" w:hAnsi="宋体"/>
        </w:rPr>
      </w:pPr>
    </w:p>
    <w:p>
      <w:pPr>
        <w:rPr>
          <w:rFonts w:ascii="宋体" w:hAnsi="宋体"/>
        </w:rPr>
      </w:pPr>
    </w:p>
    <w:p>
      <w:pPr>
        <w:jc w:val="right"/>
        <w:rPr>
          <w:rFonts w:ascii="宋体" w:hAnsi="宋体" w:cs="宋体"/>
          <w:sz w:val="24"/>
        </w:rPr>
      </w:pPr>
      <w:r>
        <w:rPr>
          <w:rFonts w:hint="eastAsia" w:ascii="宋体" w:hAnsi="宋体" w:cs="宋体"/>
          <w:sz w:val="24"/>
        </w:rPr>
        <w:t>连云港市政府采购中心</w:t>
      </w:r>
    </w:p>
    <w:p>
      <w:pPr>
        <w:jc w:val="right"/>
        <w:rPr>
          <w:rFonts w:ascii="宋体" w:hAnsi="宋体" w:cs="宋体"/>
          <w:sz w:val="24"/>
        </w:rPr>
      </w:pPr>
      <w:r>
        <w:rPr>
          <w:rFonts w:hint="eastAsia" w:ascii="宋体" w:hAnsi="宋体" w:cs="宋体"/>
          <w:sz w:val="24"/>
        </w:rPr>
        <w:t>2018年6月</w:t>
      </w:r>
      <w:r>
        <w:rPr>
          <w:rFonts w:hint="eastAsia" w:ascii="宋体" w:hAnsi="宋体" w:cs="宋体"/>
          <w:sz w:val="24"/>
          <w:lang w:val="en-US" w:eastAsia="zh-CN"/>
        </w:rPr>
        <w:t>21</w:t>
      </w:r>
      <w:r>
        <w:rPr>
          <w:rFonts w:hint="eastAsia" w:ascii="宋体" w:hAnsi="宋体" w:cs="宋体"/>
          <w:sz w:val="24"/>
        </w:rPr>
        <w:t>日</w:t>
      </w:r>
    </w:p>
    <w:p>
      <w:pPr>
        <w:jc w:val="right"/>
        <w:rPr>
          <w:rFonts w:ascii="宋体" w:hAnsi="宋体" w:cs="宋体"/>
          <w:sz w:val="24"/>
        </w:rPr>
      </w:pPr>
      <w:r>
        <w:rPr>
          <w:rFonts w:ascii="宋体" w:hAnsi="宋体" w:cs="宋体"/>
          <w:sz w:val="24"/>
        </w:rPr>
        <w:br w:type="page"/>
      </w:r>
    </w:p>
    <w:p>
      <w:pPr>
        <w:jc w:val="left"/>
        <w:rPr>
          <w:rFonts w:ascii="宋体" w:hAnsi="宋体"/>
          <w:sz w:val="24"/>
        </w:rPr>
      </w:pPr>
      <w:r>
        <w:rPr>
          <w:rFonts w:hint="eastAsia" w:ascii="宋体" w:hAnsi="宋体" w:cs="宋体"/>
          <w:sz w:val="24"/>
        </w:rPr>
        <w:t>附表：</w:t>
      </w:r>
    </w:p>
    <w:tbl>
      <w:tblPr>
        <w:tblStyle w:val="41"/>
        <w:tblW w:w="9900" w:type="dxa"/>
        <w:tblInd w:w="28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80"/>
        <w:gridCol w:w="4140"/>
        <w:gridCol w:w="1260"/>
        <w:gridCol w:w="25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05" w:hRule="atLeast"/>
        </w:trPr>
        <w:tc>
          <w:tcPr>
            <w:tcW w:w="9900" w:type="dxa"/>
            <w:gridSpan w:val="4"/>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投 标 报 名 表</w:t>
            </w:r>
          </w:p>
          <w:p>
            <w:pPr>
              <w:jc w:val="right"/>
              <w:rPr>
                <w:rFonts w:ascii="宋体" w:hAnsi="宋体" w:cs="宋体"/>
                <w:kern w:val="0"/>
                <w:sz w:val="24"/>
              </w:rPr>
            </w:pPr>
            <w:r>
              <w:rPr>
                <w:rFonts w:hint="eastAsia" w:ascii="宋体" w:hAnsi="宋体" w:cs="宋体"/>
                <w:kern w:val="0"/>
                <w:sz w:val="24"/>
              </w:rPr>
              <w:t>日期:   年  月  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980" w:type="dxa"/>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4140" w:type="dxa"/>
            <w:vAlign w:val="center"/>
          </w:tcPr>
          <w:p>
            <w:pPr>
              <w:widowControl/>
              <w:jc w:val="center"/>
              <w:rPr>
                <w:rFonts w:ascii="宋体" w:hAnsi="宋体" w:cs="宋体"/>
                <w:kern w:val="0"/>
                <w:sz w:val="24"/>
              </w:rPr>
            </w:pPr>
            <w:r>
              <w:rPr>
                <w:rFonts w:hint="eastAsia" w:ascii="宋体" w:hAnsi="宋体"/>
                <w:b/>
              </w:rPr>
              <w:t>【项目名称】</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项目编号</w:t>
            </w:r>
          </w:p>
        </w:tc>
        <w:tc>
          <w:tcPr>
            <w:tcW w:w="2520" w:type="dxa"/>
            <w:vAlign w:val="center"/>
          </w:tcPr>
          <w:p>
            <w:pPr>
              <w:widowControl/>
              <w:jc w:val="center"/>
              <w:rPr>
                <w:rFonts w:ascii="宋体" w:hAnsi="宋体" w:cs="宋体"/>
                <w:kern w:val="0"/>
                <w:sz w:val="24"/>
              </w:rPr>
            </w:pPr>
            <w:r>
              <w:rPr>
                <w:rFonts w:hint="eastAsia" w:ascii="宋体" w:hAnsi="宋体"/>
                <w:b/>
              </w:rPr>
              <w:t>【项目编号】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980" w:type="dxa"/>
            <w:vAlign w:val="center"/>
          </w:tcPr>
          <w:p>
            <w:pPr>
              <w:widowControl/>
              <w:jc w:val="center"/>
              <w:rPr>
                <w:rFonts w:ascii="宋体" w:hAnsi="宋体" w:cs="宋体"/>
                <w:b/>
                <w:kern w:val="0"/>
                <w:sz w:val="24"/>
              </w:rPr>
            </w:pPr>
            <w:r>
              <w:rPr>
                <w:rFonts w:hint="eastAsia" w:ascii="宋体" w:hAnsi="宋体" w:cs="宋体"/>
                <w:b/>
                <w:kern w:val="0"/>
                <w:sz w:val="24"/>
              </w:rPr>
              <w:t>投标单位名称</w:t>
            </w:r>
          </w:p>
        </w:tc>
        <w:tc>
          <w:tcPr>
            <w:tcW w:w="4140"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所投标段</w:t>
            </w:r>
          </w:p>
        </w:tc>
        <w:tc>
          <w:tcPr>
            <w:tcW w:w="2520" w:type="dxa"/>
            <w:vAlign w:val="center"/>
          </w:tcPr>
          <w:p>
            <w:pPr>
              <w:widowControl/>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980" w:type="dxa"/>
            <w:vAlign w:val="center"/>
          </w:tcPr>
          <w:p>
            <w:pPr>
              <w:widowControl/>
              <w:jc w:val="center"/>
              <w:rPr>
                <w:rFonts w:ascii="宋体" w:hAnsi="宋体" w:cs="宋体"/>
                <w:kern w:val="0"/>
                <w:sz w:val="24"/>
              </w:rPr>
            </w:pPr>
            <w:r>
              <w:rPr>
                <w:rFonts w:hint="eastAsia" w:ascii="宋体" w:hAnsi="宋体" w:cs="宋体"/>
                <w:kern w:val="0"/>
                <w:sz w:val="24"/>
              </w:rPr>
              <w:t>投标单位地址</w:t>
            </w:r>
          </w:p>
        </w:tc>
        <w:tc>
          <w:tcPr>
            <w:tcW w:w="4140" w:type="dxa"/>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邮  编</w:t>
            </w:r>
          </w:p>
        </w:tc>
        <w:tc>
          <w:tcPr>
            <w:tcW w:w="2520"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980" w:type="dxa"/>
            <w:vAlign w:val="center"/>
          </w:tcPr>
          <w:p>
            <w:pPr>
              <w:widowControl/>
              <w:jc w:val="center"/>
              <w:rPr>
                <w:rFonts w:ascii="宋体" w:hAnsi="宋体" w:cs="宋体"/>
                <w:kern w:val="0"/>
                <w:sz w:val="24"/>
              </w:rPr>
            </w:pPr>
            <w:r>
              <w:rPr>
                <w:rFonts w:hint="eastAsia" w:ascii="宋体" w:hAnsi="宋体" w:cs="宋体"/>
                <w:kern w:val="0"/>
                <w:sz w:val="24"/>
              </w:rPr>
              <w:t>投标单位联系人</w:t>
            </w:r>
          </w:p>
        </w:tc>
        <w:tc>
          <w:tcPr>
            <w:tcW w:w="4140" w:type="dxa"/>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vAlign w:val="center"/>
          </w:tcPr>
          <w:p>
            <w:pPr>
              <w:widowControl/>
              <w:jc w:val="center"/>
              <w:rPr>
                <w:rFonts w:ascii="宋体" w:hAnsi="宋体" w:cs="宋体"/>
                <w:b/>
                <w:kern w:val="0"/>
                <w:sz w:val="24"/>
              </w:rPr>
            </w:pPr>
            <w:r>
              <w:rPr>
                <w:rFonts w:ascii="宋体" w:hAnsi="宋体" w:cs="宋体"/>
                <w:b/>
                <w:kern w:val="0"/>
                <w:sz w:val="24"/>
              </w:rPr>
              <w:t>手</w:t>
            </w:r>
            <w:r>
              <w:rPr>
                <w:rFonts w:hint="eastAsia" w:ascii="宋体" w:hAnsi="宋体" w:cs="宋体"/>
                <w:b/>
                <w:kern w:val="0"/>
                <w:sz w:val="24"/>
              </w:rPr>
              <w:t xml:space="preserve">  </w:t>
            </w:r>
            <w:r>
              <w:rPr>
                <w:rFonts w:ascii="宋体" w:hAnsi="宋体" w:cs="宋体"/>
                <w:b/>
                <w:kern w:val="0"/>
                <w:sz w:val="24"/>
              </w:rPr>
              <w:t>机</w:t>
            </w:r>
          </w:p>
        </w:tc>
        <w:tc>
          <w:tcPr>
            <w:tcW w:w="2520"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980" w:type="dxa"/>
            <w:vAlign w:val="center"/>
          </w:tcPr>
          <w:p>
            <w:pPr>
              <w:widowControl/>
              <w:jc w:val="center"/>
              <w:rPr>
                <w:rFonts w:ascii="宋体" w:hAnsi="宋体" w:cs="宋体"/>
                <w:kern w:val="0"/>
                <w:sz w:val="24"/>
              </w:rPr>
            </w:pPr>
            <w:r>
              <w:rPr>
                <w:rFonts w:hint="eastAsia" w:ascii="宋体" w:hAnsi="宋体" w:cs="宋体"/>
                <w:kern w:val="0"/>
                <w:sz w:val="24"/>
              </w:rPr>
              <w:t>电子信箱</w:t>
            </w:r>
          </w:p>
        </w:tc>
        <w:tc>
          <w:tcPr>
            <w:tcW w:w="4140" w:type="dxa"/>
            <w:vAlign w:val="center"/>
          </w:tcPr>
          <w:p>
            <w:pPr>
              <w:widowControl/>
              <w:jc w:val="left"/>
              <w:rPr>
                <w:rFonts w:ascii="宋体" w:hAnsi="宋体" w:cs="宋体"/>
                <w:kern w:val="0"/>
                <w:sz w:val="24"/>
              </w:rPr>
            </w:pPr>
            <w:r>
              <w:rPr>
                <w:rFonts w:hint="eastAsia" w:ascii="宋体" w:hAnsi="宋体" w:cs="宋体"/>
                <w:kern w:val="0"/>
                <w:sz w:val="24"/>
              </w:rPr>
              <w:t>　</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传  真</w:t>
            </w:r>
          </w:p>
        </w:tc>
        <w:tc>
          <w:tcPr>
            <w:tcW w:w="2520" w:type="dxa"/>
            <w:vAlign w:val="center"/>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00" w:hRule="atLeast"/>
        </w:trPr>
        <w:tc>
          <w:tcPr>
            <w:tcW w:w="1980" w:type="dxa"/>
            <w:vAlign w:val="center"/>
          </w:tcPr>
          <w:p>
            <w:pPr>
              <w:widowControl/>
              <w:jc w:val="center"/>
              <w:rPr>
                <w:rFonts w:ascii="宋体" w:hAnsi="宋体" w:cs="宋体"/>
                <w:kern w:val="0"/>
                <w:sz w:val="24"/>
              </w:rPr>
            </w:pPr>
            <w:r>
              <w:rPr>
                <w:rFonts w:hint="eastAsia" w:ascii="宋体" w:hAnsi="宋体" w:cs="宋体"/>
                <w:kern w:val="0"/>
                <w:sz w:val="24"/>
              </w:rPr>
              <w:t>报名截止时间</w:t>
            </w:r>
          </w:p>
        </w:tc>
        <w:tc>
          <w:tcPr>
            <w:tcW w:w="7920" w:type="dxa"/>
            <w:gridSpan w:val="3"/>
            <w:vAlign w:val="center"/>
          </w:tcPr>
          <w:p>
            <w:pPr>
              <w:spacing w:line="360" w:lineRule="auto"/>
              <w:rPr>
                <w:rFonts w:ascii="宋体" w:hAnsi="宋体"/>
                <w:sz w:val="28"/>
                <w:szCs w:val="28"/>
              </w:rPr>
            </w:pPr>
            <w:r>
              <w:rPr>
                <w:rFonts w:hint="eastAsia" w:ascii="宋体" w:hAnsi="宋体"/>
                <w:sz w:val="28"/>
                <w:szCs w:val="28"/>
              </w:rPr>
              <w:t>2018年6月2</w:t>
            </w:r>
            <w:r>
              <w:rPr>
                <w:rFonts w:hint="eastAsia" w:ascii="宋体" w:hAnsi="宋体"/>
                <w:sz w:val="28"/>
                <w:szCs w:val="28"/>
                <w:lang w:val="en-US" w:eastAsia="zh-CN"/>
              </w:rPr>
              <w:t>8</w:t>
            </w:r>
            <w:r>
              <w:rPr>
                <w:rFonts w:hint="eastAsia" w:ascii="宋体" w:hAnsi="宋体"/>
                <w:sz w:val="28"/>
                <w:szCs w:val="28"/>
              </w:rPr>
              <w:t xml:space="preserve">日18:00                  </w:t>
            </w:r>
            <w:r>
              <w:rPr>
                <w:rFonts w:hint="eastAsia" w:ascii="宋体" w:hAnsi="宋体"/>
                <w:sz w:val="28"/>
                <w:szCs w:val="28"/>
                <w:lang w:val="en-US" w:eastAsia="zh-CN"/>
              </w:rPr>
              <w:t>朱女士</w:t>
            </w:r>
            <w:r>
              <w:rPr>
                <w:rFonts w:hint="eastAsia" w:ascii="宋体" w:hAnsi="宋体"/>
                <w:sz w:val="28"/>
                <w:szCs w:val="28"/>
              </w:rPr>
              <w:t>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50" w:hRule="atLeast"/>
        </w:trPr>
        <w:tc>
          <w:tcPr>
            <w:tcW w:w="9900" w:type="dxa"/>
            <w:gridSpan w:val="4"/>
          </w:tcPr>
          <w:p>
            <w:pPr>
              <w:widowControl/>
              <w:rPr>
                <w:rFonts w:ascii="宋体" w:hAnsi="宋体" w:cs="宋体"/>
                <w:kern w:val="0"/>
                <w:sz w:val="24"/>
              </w:rPr>
            </w:pPr>
          </w:p>
          <w:p>
            <w:pPr>
              <w:widowControl/>
              <w:rPr>
                <w:rFonts w:ascii="宋体" w:hAnsi="宋体" w:cs="宋体"/>
                <w:kern w:val="0"/>
                <w:sz w:val="24"/>
              </w:rPr>
            </w:pPr>
            <w:r>
              <w:rPr>
                <w:rFonts w:hint="eastAsia" w:ascii="宋体" w:hAnsi="宋体" w:cs="宋体"/>
                <w:kern w:val="0"/>
                <w:sz w:val="24"/>
              </w:rPr>
              <w:t>备注:</w:t>
            </w:r>
          </w:p>
          <w:p>
            <w:pPr>
              <w:widowControl/>
              <w:rPr>
                <w:rFonts w:ascii="宋体" w:hAnsi="宋体" w:cs="宋体"/>
                <w:kern w:val="0"/>
                <w:sz w:val="24"/>
              </w:rPr>
            </w:pPr>
            <w:r>
              <w:rPr>
                <w:rFonts w:hint="eastAsia" w:ascii="宋体" w:hAnsi="宋体" w:cs="宋体"/>
                <w:kern w:val="0"/>
                <w:sz w:val="24"/>
              </w:rPr>
              <w:t>　</w:t>
            </w:r>
          </w:p>
          <w:p>
            <w:pPr>
              <w:rPr>
                <w:rFonts w:ascii="宋体" w:hAnsi="宋体" w:cs="宋体"/>
                <w:kern w:val="0"/>
                <w:sz w:val="24"/>
              </w:rPr>
            </w:pPr>
            <w:r>
              <w:rPr>
                <w:rFonts w:hint="eastAsia" w:ascii="宋体" w:hAnsi="宋体" w:cs="宋体"/>
                <w:kern w:val="0"/>
                <w:sz w:val="24"/>
              </w:rPr>
              <w:t xml:space="preserve">                            </w:t>
            </w: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rPr>
                <w:rFonts w:ascii="宋体" w:hAnsi="宋体" w:cs="宋体"/>
                <w:kern w:val="0"/>
                <w:sz w:val="24"/>
              </w:rPr>
            </w:pPr>
          </w:p>
          <w:p>
            <w:pPr>
              <w:ind w:firstLine="5760" w:firstLineChars="2400"/>
              <w:rPr>
                <w:rFonts w:ascii="宋体" w:hAnsi="宋体" w:cs="宋体"/>
                <w:kern w:val="0"/>
                <w:sz w:val="24"/>
              </w:rPr>
            </w:pPr>
            <w:r>
              <w:rPr>
                <w:rFonts w:hint="eastAsia" w:ascii="宋体" w:hAnsi="宋体" w:cs="宋体"/>
                <w:kern w:val="0"/>
                <w:sz w:val="24"/>
              </w:rPr>
              <w:t xml:space="preserve"> 单位盖章:</w:t>
            </w:r>
          </w:p>
        </w:tc>
      </w:tr>
    </w:tbl>
    <w:p>
      <w:pPr>
        <w:ind w:firstLine="6720" w:firstLineChars="2800"/>
        <w:rPr>
          <w:rFonts w:ascii="宋体" w:hAnsi="宋体"/>
          <w:sz w:val="24"/>
        </w:rPr>
      </w:pPr>
    </w:p>
    <w:p>
      <w:pPr>
        <w:spacing w:line="360" w:lineRule="auto"/>
        <w:rPr>
          <w:rFonts w:ascii="宋体" w:hAnsi="宋体" w:cs="宋体"/>
          <w:sz w:val="24"/>
        </w:rPr>
      </w:pPr>
      <w:r>
        <w:rPr>
          <w:rFonts w:hint="eastAsia" w:ascii="宋体" w:hAnsi="宋体" w:cs="宋体"/>
          <w:sz w:val="24"/>
        </w:rPr>
        <w:t>说明:采购中心将投标人在</w:t>
      </w:r>
      <w:r>
        <w:rPr>
          <w:rFonts w:hint="eastAsia" w:ascii="宋体" w:hAnsi="宋体" w:cs="宋体"/>
          <w:sz w:val="24"/>
          <w:highlight w:val="yellow"/>
        </w:rPr>
        <w:t>2018年6月2</w:t>
      </w:r>
      <w:r>
        <w:rPr>
          <w:rFonts w:hint="eastAsia" w:ascii="宋体" w:hAnsi="宋体" w:cs="宋体"/>
          <w:sz w:val="24"/>
          <w:highlight w:val="yellow"/>
          <w:lang w:val="en-US" w:eastAsia="zh-CN"/>
        </w:rPr>
        <w:t>8</w:t>
      </w:r>
      <w:r>
        <w:rPr>
          <w:rFonts w:hint="eastAsia" w:ascii="宋体" w:hAnsi="宋体" w:cs="宋体"/>
          <w:sz w:val="24"/>
          <w:highlight w:val="yellow"/>
        </w:rPr>
        <w:t>日</w:t>
      </w:r>
      <w:r>
        <w:rPr>
          <w:rFonts w:hint="eastAsia" w:ascii="宋体" w:hAnsi="宋体" w:cs="宋体"/>
          <w:sz w:val="24"/>
        </w:rPr>
        <w:t>18:00之前递交或传真本“投标报名表” 到项目负责人处视为已报名。如果投标人未能按时递交本表，导致不能及时得到相关修改澄清等信息，后果自负。</w:t>
      </w:r>
    </w:p>
    <w:p>
      <w:pPr>
        <w:pStyle w:val="17"/>
        <w:jc w:val="center"/>
        <w:outlineLvl w:val="0"/>
        <w:rPr>
          <w:rFonts w:hAnsi="宋体"/>
          <w:b/>
          <w:sz w:val="36"/>
        </w:rPr>
      </w:pPr>
      <w:r>
        <w:rPr>
          <w:rFonts w:hint="eastAsia" w:hAnsi="宋体"/>
          <w:sz w:val="24"/>
        </w:rPr>
        <w:t xml:space="preserve"> </w:t>
      </w:r>
      <w:r>
        <w:rPr>
          <w:rFonts w:hAnsi="宋体"/>
          <w:sz w:val="24"/>
        </w:rPr>
        <w:br w:type="page"/>
      </w:r>
      <w:bookmarkStart w:id="3" w:name="_Toc494123932"/>
      <w:r>
        <w:rPr>
          <w:rFonts w:hint="eastAsia" w:hAnsi="宋体"/>
          <w:b/>
          <w:sz w:val="36"/>
        </w:rPr>
        <w:t>第二章  投标人须知</w:t>
      </w:r>
      <w:bookmarkEnd w:id="0"/>
      <w:bookmarkEnd w:id="1"/>
      <w:bookmarkEnd w:id="3"/>
    </w:p>
    <w:p>
      <w:pPr>
        <w:pStyle w:val="26"/>
        <w:jc w:val="left"/>
        <w:rPr>
          <w:sz w:val="24"/>
          <w:szCs w:val="24"/>
        </w:rPr>
      </w:pPr>
      <w:r>
        <w:rPr>
          <w:rFonts w:hint="eastAsia"/>
          <w:sz w:val="24"/>
          <w:szCs w:val="24"/>
        </w:rPr>
        <w:t>一、总则</w:t>
      </w:r>
    </w:p>
    <w:p>
      <w:pPr>
        <w:pStyle w:val="17"/>
        <w:spacing w:line="440" w:lineRule="exact"/>
        <w:ind w:left="212" w:hanging="212" w:hangingChars="101"/>
        <w:jc w:val="left"/>
        <w:rPr>
          <w:rFonts w:hAnsi="宋体"/>
        </w:rPr>
      </w:pPr>
      <w:r>
        <w:rPr>
          <w:rFonts w:hint="eastAsia" w:hAnsi="宋体"/>
          <w:bCs/>
        </w:rPr>
        <w:t>1.    采购人、</w:t>
      </w:r>
      <w:r>
        <w:rPr>
          <w:rFonts w:hint="eastAsia" w:hAnsi="宋体"/>
        </w:rPr>
        <w:t>项目名称及项目编号，详见第一章“投标邀请”。</w:t>
      </w:r>
    </w:p>
    <w:p>
      <w:pPr>
        <w:pStyle w:val="17"/>
        <w:spacing w:line="440" w:lineRule="exact"/>
        <w:rPr>
          <w:rFonts w:hAnsi="宋体"/>
          <w:bCs/>
        </w:rPr>
      </w:pPr>
      <w:r>
        <w:rPr>
          <w:rFonts w:hint="eastAsia" w:hAnsi="宋体"/>
          <w:bCs/>
        </w:rPr>
        <w:t>2.    采购预算</w:t>
      </w:r>
      <w:r>
        <w:rPr>
          <w:rFonts w:hint="eastAsia" w:hAnsi="宋体"/>
        </w:rPr>
        <w:t>。</w:t>
      </w:r>
    </w:p>
    <w:p>
      <w:pPr>
        <w:pStyle w:val="17"/>
        <w:spacing w:line="440" w:lineRule="exact"/>
        <w:rPr>
          <w:rFonts w:hAnsi="宋体"/>
          <w:b/>
        </w:rPr>
      </w:pPr>
      <w:r>
        <w:rPr>
          <w:rFonts w:hint="eastAsia" w:hAnsi="宋体"/>
        </w:rPr>
        <w:t>2.1　 本项目的采购预算详见第一章“投标邀请”。</w:t>
      </w:r>
    </w:p>
    <w:p>
      <w:pPr>
        <w:pStyle w:val="17"/>
        <w:tabs>
          <w:tab w:val="left" w:pos="525"/>
          <w:tab w:val="left" w:pos="735"/>
        </w:tabs>
        <w:spacing w:line="440" w:lineRule="exact"/>
        <w:rPr>
          <w:rFonts w:hAnsi="宋体"/>
          <w:bCs/>
        </w:rPr>
      </w:pPr>
      <w:r>
        <w:rPr>
          <w:rFonts w:hint="eastAsia" w:hAnsi="宋体"/>
          <w:bCs/>
        </w:rPr>
        <w:t>3.    资金来</w:t>
      </w:r>
      <w:r>
        <w:rPr>
          <w:rFonts w:hint="eastAsia" w:hAnsi="宋体"/>
        </w:rPr>
        <w:t>源。</w:t>
      </w:r>
    </w:p>
    <w:p>
      <w:pPr>
        <w:pStyle w:val="17"/>
        <w:spacing w:line="440" w:lineRule="exact"/>
        <w:ind w:left="630" w:hanging="630" w:hangingChars="300"/>
        <w:rPr>
          <w:rFonts w:hAnsi="宋体"/>
        </w:rPr>
      </w:pPr>
      <w:r>
        <w:rPr>
          <w:rFonts w:hint="eastAsia" w:hAnsi="宋体"/>
        </w:rPr>
        <w:t>3.1　“投标邀请”中所述的采购人已获得一笔政府采购资金，用于采购“项目需求”所列内容。</w:t>
      </w:r>
    </w:p>
    <w:p>
      <w:pPr>
        <w:pStyle w:val="17"/>
        <w:spacing w:line="440" w:lineRule="exact"/>
        <w:ind w:left="630" w:hanging="630" w:hangingChars="300"/>
        <w:rPr>
          <w:rFonts w:hAnsi="宋体"/>
          <w:bCs/>
        </w:rPr>
      </w:pPr>
      <w:r>
        <w:rPr>
          <w:rFonts w:hint="eastAsia" w:hAnsi="宋体"/>
          <w:bCs/>
        </w:rPr>
        <w:t>4.    采购方式</w:t>
      </w:r>
    </w:p>
    <w:p>
      <w:pPr>
        <w:pStyle w:val="17"/>
        <w:spacing w:line="440" w:lineRule="exact"/>
        <w:ind w:left="630" w:hanging="630" w:hangingChars="300"/>
        <w:rPr>
          <w:rFonts w:hAnsi="宋体"/>
          <w:bCs/>
        </w:rPr>
      </w:pPr>
      <w:r>
        <w:rPr>
          <w:rFonts w:hint="eastAsia" w:hAnsi="宋体"/>
          <w:bCs/>
        </w:rPr>
        <w:t>4.1   本项目采用公开招标采购方式。</w:t>
      </w:r>
    </w:p>
    <w:p>
      <w:pPr>
        <w:pStyle w:val="17"/>
        <w:spacing w:line="440" w:lineRule="exact"/>
        <w:rPr>
          <w:rFonts w:hAnsi="宋体"/>
          <w:bCs/>
        </w:rPr>
      </w:pPr>
      <w:r>
        <w:rPr>
          <w:rFonts w:hint="eastAsia" w:hAnsi="宋体"/>
          <w:bCs/>
        </w:rPr>
        <w:t>5.    合格的投标人：</w:t>
      </w:r>
    </w:p>
    <w:p>
      <w:pPr>
        <w:pStyle w:val="17"/>
        <w:spacing w:line="440" w:lineRule="exact"/>
        <w:rPr>
          <w:rFonts w:hAnsi="宋体"/>
        </w:rPr>
      </w:pPr>
      <w:r>
        <w:rPr>
          <w:rFonts w:hint="eastAsia" w:hAnsi="宋体"/>
        </w:rPr>
        <w:t xml:space="preserve">5.1   </w:t>
      </w:r>
      <w:r>
        <w:rPr>
          <w:rFonts w:hint="eastAsia" w:hAnsi="宋体"/>
          <w:szCs w:val="21"/>
        </w:rPr>
        <w:t>投标人</w:t>
      </w:r>
      <w:r>
        <w:rPr>
          <w:rFonts w:hint="eastAsia" w:hAnsi="宋体"/>
        </w:rPr>
        <w:t>应符合第一章“投标邀请”中规定的条件，</w:t>
      </w:r>
      <w:r>
        <w:rPr>
          <w:rFonts w:hint="eastAsia" w:hAnsi="宋体"/>
          <w:b/>
          <w:bCs/>
        </w:rPr>
        <w:t>否则该投标人投标无效</w:t>
      </w:r>
      <w:r>
        <w:rPr>
          <w:rFonts w:hint="eastAsia" w:hAnsi="宋体"/>
        </w:rPr>
        <w:t>。</w:t>
      </w:r>
    </w:p>
    <w:p>
      <w:pPr>
        <w:pStyle w:val="17"/>
        <w:spacing w:line="440" w:lineRule="exact"/>
        <w:ind w:left="630" w:hanging="630" w:hangingChars="300"/>
        <w:rPr>
          <w:rFonts w:hAnsi="宋体"/>
        </w:rPr>
      </w:pPr>
      <w:r>
        <w:rPr>
          <w:rFonts w:hint="eastAsia" w:hAnsi="宋体"/>
        </w:rPr>
        <w:t xml:space="preserve">5.2   投标人不得直接或间接地与为本次采购的货物进行设计、编制规范和其他文件的咨询公司、采购（集采）机构或其附属机构有任何关联。 </w:t>
      </w:r>
    </w:p>
    <w:p>
      <w:pPr>
        <w:pStyle w:val="17"/>
        <w:spacing w:line="440" w:lineRule="exact"/>
        <w:rPr>
          <w:rFonts w:hAnsi="宋体"/>
        </w:rPr>
      </w:pPr>
      <w:r>
        <w:rPr>
          <w:rFonts w:hint="eastAsia" w:hAnsi="宋体"/>
        </w:rPr>
        <w:t>5.3   符合上述条件的投标人应承担投标及履约过程应承担的全部责任与义务。</w:t>
      </w:r>
    </w:p>
    <w:p>
      <w:pPr>
        <w:pStyle w:val="17"/>
        <w:spacing w:line="440" w:lineRule="exact"/>
        <w:rPr>
          <w:rFonts w:hAnsi="宋体"/>
          <w:b/>
        </w:rPr>
      </w:pPr>
      <w:r>
        <w:rPr>
          <w:rFonts w:hint="eastAsia" w:hAnsi="宋体"/>
          <w:bCs/>
        </w:rPr>
        <w:t>6.    投标费用</w:t>
      </w:r>
    </w:p>
    <w:p>
      <w:pPr>
        <w:pStyle w:val="17"/>
        <w:spacing w:line="440" w:lineRule="exact"/>
        <w:rPr>
          <w:rFonts w:hAnsi="宋体"/>
        </w:rPr>
      </w:pPr>
      <w:r>
        <w:rPr>
          <w:rFonts w:hint="eastAsia" w:hAnsi="宋体"/>
        </w:rPr>
        <w:t>6.1   不论投标结果如何，投标人均应自行承担所有与编写和提交投标文件有关的全部费用。</w:t>
      </w:r>
    </w:p>
    <w:p>
      <w:pPr>
        <w:pStyle w:val="17"/>
        <w:spacing w:line="440" w:lineRule="exact"/>
        <w:rPr>
          <w:rFonts w:hAnsi="宋体"/>
          <w:bCs/>
        </w:rPr>
      </w:pPr>
      <w:r>
        <w:rPr>
          <w:rFonts w:hint="eastAsia" w:hAnsi="宋体"/>
          <w:bCs/>
        </w:rPr>
        <w:t>7.　 质疑</w:t>
      </w:r>
    </w:p>
    <w:p>
      <w:pPr>
        <w:pStyle w:val="17"/>
        <w:spacing w:line="440" w:lineRule="exact"/>
        <w:ind w:left="550" w:hanging="550" w:hangingChars="262"/>
        <w:rPr>
          <w:rFonts w:hAnsi="宋体"/>
          <w:szCs w:val="21"/>
        </w:rPr>
      </w:pPr>
      <w:r>
        <w:rPr>
          <w:rFonts w:hint="eastAsia" w:hAnsi="宋体"/>
          <w:bCs/>
        </w:rPr>
        <w:t>7.1  供应商认为采购文件、采购过程、中标或者成交结果使自己的权益受到损害的，可以在知道或者应知其权益受到损害之日起7个工作日内，以书面形式向采购人、采购集采机构提出质疑。</w:t>
      </w:r>
      <w:r>
        <w:rPr>
          <w:rFonts w:hint="eastAsia" w:hAnsi="宋体"/>
          <w:b/>
          <w:bCs/>
        </w:rPr>
        <w:t>供应商应当在法定质疑期内一次性提出针对同一采购程序环节的质疑。</w:t>
      </w:r>
    </w:p>
    <w:p>
      <w:pPr>
        <w:pStyle w:val="17"/>
        <w:spacing w:line="440" w:lineRule="exact"/>
        <w:ind w:left="550" w:hanging="550" w:hangingChars="262"/>
        <w:rPr>
          <w:rFonts w:hAnsi="宋体"/>
          <w:bCs/>
        </w:rPr>
      </w:pPr>
      <w:r>
        <w:rPr>
          <w:rFonts w:hint="eastAsia" w:hAnsi="宋体"/>
          <w:bCs/>
        </w:rPr>
        <w:t>7.2  采购人负责供应商质疑答复。采购人委托采购集采机构采购的，采购集采机构在委托授权范围内作出答复。</w:t>
      </w:r>
    </w:p>
    <w:p>
      <w:pPr>
        <w:pStyle w:val="17"/>
        <w:spacing w:line="440" w:lineRule="exact"/>
        <w:ind w:left="550" w:hanging="550" w:hangingChars="262"/>
        <w:rPr>
          <w:rFonts w:hAnsi="宋体"/>
          <w:bCs/>
        </w:rPr>
      </w:pPr>
      <w:r>
        <w:rPr>
          <w:rFonts w:hint="eastAsia" w:hAnsi="宋体"/>
          <w:bCs/>
        </w:rPr>
        <w:t>7.3  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pPr>
        <w:pStyle w:val="17"/>
        <w:spacing w:line="440" w:lineRule="exact"/>
        <w:ind w:left="550" w:hanging="550" w:hangingChars="262"/>
        <w:rPr>
          <w:rFonts w:hAnsi="宋体"/>
          <w:bCs/>
        </w:rPr>
      </w:pPr>
      <w:r>
        <w:rPr>
          <w:rFonts w:hint="eastAsia" w:hAnsi="宋体"/>
          <w:bCs/>
        </w:rPr>
        <w:t>7.4  供应商可以委托集采人进行质疑和投诉。</w:t>
      </w:r>
      <w:r>
        <w:rPr>
          <w:rFonts w:hint="eastAsia" w:hAnsi="宋体"/>
          <w:b/>
          <w:bCs/>
        </w:rPr>
        <w:t>集采人提出质疑和投诉，应当提交供应商签署的授权委托书。</w:t>
      </w:r>
      <w:r>
        <w:rPr>
          <w:rFonts w:hint="eastAsia" w:hAnsi="宋体"/>
          <w:bCs/>
        </w:rPr>
        <w:t>其授权委托书应当载明集采人的姓名或者名称、集采事项、具体权限、期限和相关事项。供应商为自然人的，应当由本人签字；供应商为法人或者其他组织的，应当由法定代表人、主要负责人签字或者盖章，并加盖公章。</w:t>
      </w:r>
    </w:p>
    <w:p>
      <w:pPr>
        <w:pStyle w:val="17"/>
        <w:spacing w:line="440" w:lineRule="exact"/>
        <w:ind w:left="550" w:hanging="550" w:hangingChars="262"/>
        <w:rPr>
          <w:rFonts w:hAnsi="宋体"/>
          <w:bCs/>
        </w:rPr>
      </w:pPr>
      <w:r>
        <w:rPr>
          <w:rFonts w:hint="eastAsia" w:hAnsi="宋体"/>
          <w:bCs/>
        </w:rPr>
        <w:t>7.5  供应商提出质疑应当提交质疑函和必要的证明材料。质疑函应当包括下列内容：</w:t>
      </w:r>
    </w:p>
    <w:p>
      <w:pPr>
        <w:pStyle w:val="17"/>
        <w:spacing w:line="440" w:lineRule="exact"/>
        <w:ind w:left="550" w:leftChars="150" w:hanging="235" w:hangingChars="112"/>
        <w:rPr>
          <w:rFonts w:hAnsi="宋体"/>
          <w:bCs/>
        </w:rPr>
      </w:pPr>
      <w:r>
        <w:rPr>
          <w:rFonts w:hint="eastAsia" w:hAnsi="宋体"/>
          <w:bCs/>
        </w:rPr>
        <w:t xml:space="preserve">  （1）供应商的姓名或者名称、地址、邮编、联系人及联系电话；</w:t>
      </w:r>
    </w:p>
    <w:p>
      <w:pPr>
        <w:pStyle w:val="17"/>
        <w:spacing w:line="440" w:lineRule="exact"/>
        <w:ind w:left="550" w:leftChars="150" w:hanging="235" w:hangingChars="112"/>
        <w:rPr>
          <w:rFonts w:hAnsi="宋体"/>
          <w:bCs/>
        </w:rPr>
      </w:pPr>
      <w:r>
        <w:rPr>
          <w:rFonts w:hint="eastAsia" w:hAnsi="宋体"/>
          <w:bCs/>
        </w:rPr>
        <w:t>（2）质疑项目的名称、编号；</w:t>
      </w:r>
    </w:p>
    <w:p>
      <w:pPr>
        <w:pStyle w:val="17"/>
        <w:spacing w:line="440" w:lineRule="exact"/>
        <w:ind w:left="550" w:leftChars="150" w:hanging="235" w:hangingChars="112"/>
        <w:rPr>
          <w:rFonts w:hAnsi="宋体"/>
          <w:bCs/>
        </w:rPr>
      </w:pPr>
      <w:r>
        <w:rPr>
          <w:rFonts w:hint="eastAsia" w:hAnsi="宋体"/>
          <w:bCs/>
        </w:rPr>
        <w:t>（3）具体、明确的质疑事项和与质疑事项相关的请求；</w:t>
      </w:r>
    </w:p>
    <w:p>
      <w:pPr>
        <w:pStyle w:val="17"/>
        <w:spacing w:line="440" w:lineRule="exact"/>
        <w:ind w:left="550" w:leftChars="150" w:hanging="235" w:hangingChars="112"/>
        <w:rPr>
          <w:rFonts w:hAnsi="宋体"/>
          <w:bCs/>
        </w:rPr>
      </w:pPr>
      <w:r>
        <w:rPr>
          <w:rFonts w:hint="eastAsia" w:hAnsi="宋体"/>
          <w:bCs/>
        </w:rPr>
        <w:t>（4）事实依据；</w:t>
      </w:r>
    </w:p>
    <w:p>
      <w:pPr>
        <w:pStyle w:val="17"/>
        <w:spacing w:line="440" w:lineRule="exact"/>
        <w:ind w:left="550" w:leftChars="150" w:hanging="235" w:hangingChars="112"/>
        <w:rPr>
          <w:rFonts w:hAnsi="宋体"/>
          <w:bCs/>
        </w:rPr>
      </w:pPr>
      <w:r>
        <w:rPr>
          <w:rFonts w:hint="eastAsia" w:hAnsi="宋体"/>
          <w:bCs/>
        </w:rPr>
        <w:t>（5）必要的法律依据；</w:t>
      </w:r>
    </w:p>
    <w:p>
      <w:pPr>
        <w:pStyle w:val="17"/>
        <w:spacing w:line="440" w:lineRule="exact"/>
        <w:ind w:left="550" w:leftChars="150" w:hanging="235" w:hangingChars="112"/>
        <w:rPr>
          <w:rFonts w:hAnsi="宋体"/>
          <w:bCs/>
        </w:rPr>
      </w:pPr>
      <w:r>
        <w:rPr>
          <w:rFonts w:hint="eastAsia" w:hAnsi="宋体"/>
          <w:bCs/>
        </w:rPr>
        <w:t>（6）提出质疑的日期。</w:t>
      </w:r>
    </w:p>
    <w:p>
      <w:pPr>
        <w:pStyle w:val="17"/>
        <w:spacing w:line="440" w:lineRule="exact"/>
        <w:ind w:left="550" w:leftChars="250" w:hanging="25" w:hangingChars="12"/>
        <w:rPr>
          <w:rFonts w:hAnsi="宋体"/>
          <w:bCs/>
        </w:rPr>
      </w:pPr>
      <w:r>
        <w:rPr>
          <w:rFonts w:hint="eastAsia" w:hAnsi="宋体"/>
          <w:bCs/>
        </w:rPr>
        <w:t>供应商为自然人的，应当由本人签字；供应商为法人或者其他组织的，应当由法定代表人、主要负责人签字或者盖章，并加盖公章。</w:t>
      </w:r>
    </w:p>
    <w:p>
      <w:pPr>
        <w:pStyle w:val="17"/>
        <w:spacing w:line="440" w:lineRule="exact"/>
        <w:ind w:left="550" w:hanging="550" w:hangingChars="262"/>
        <w:rPr>
          <w:rFonts w:hAnsi="宋体"/>
          <w:bCs/>
        </w:rPr>
      </w:pPr>
      <w:r>
        <w:rPr>
          <w:rFonts w:hint="eastAsia" w:hAnsi="宋体"/>
          <w:bCs/>
        </w:rPr>
        <w:t xml:space="preserve">7.6   </w:t>
      </w:r>
      <w:r>
        <w:rPr>
          <w:rFonts w:hint="eastAsia" w:hAnsi="宋体"/>
          <w:b/>
          <w:bCs/>
          <w:color w:val="FF0000"/>
        </w:rPr>
        <w:t>质疑函应当使用范本</w:t>
      </w:r>
      <w:r>
        <w:rPr>
          <w:rFonts w:hint="eastAsia" w:hAnsi="宋体"/>
          <w:bCs/>
        </w:rPr>
        <w:t>（详见中国政府采购网</w:t>
      </w:r>
      <w:r>
        <w:fldChar w:fldCharType="begin"/>
      </w:r>
      <w:r>
        <w:instrText xml:space="preserve"> HYPERLINK "http://www.ccgp.gov.cn/" </w:instrText>
      </w:r>
      <w:r>
        <w:fldChar w:fldCharType="separate"/>
      </w:r>
      <w:r>
        <w:rPr>
          <w:rStyle w:val="39"/>
          <w:rFonts w:hAnsi="宋体"/>
          <w:bCs/>
        </w:rPr>
        <w:t>http://www.ccgp.gov.cn/</w:t>
      </w:r>
      <w:r>
        <w:rPr>
          <w:rStyle w:val="39"/>
          <w:rFonts w:hAnsi="宋体"/>
          <w:bCs/>
        </w:rPr>
        <w:fldChar w:fldCharType="end"/>
      </w:r>
      <w:r>
        <w:rPr>
          <w:rFonts w:hAnsi="宋体"/>
          <w:bCs/>
        </w:rPr>
        <w:t>下载专区</w:t>
      </w:r>
      <w:r>
        <w:rPr>
          <w:rFonts w:hint="eastAsia" w:hAnsi="宋体"/>
          <w:bCs/>
        </w:rPr>
        <w:t>），接收方式为书面原件接收，联系部门、联系电话和通讯地址详见本招标文件第一章。</w:t>
      </w:r>
    </w:p>
    <w:p>
      <w:pPr>
        <w:pStyle w:val="17"/>
        <w:spacing w:line="440" w:lineRule="exact"/>
        <w:ind w:left="655" w:hanging="655" w:hangingChars="312"/>
        <w:rPr>
          <w:rFonts w:hAnsi="宋体"/>
          <w:bCs/>
        </w:rPr>
      </w:pPr>
      <w:r>
        <w:rPr>
          <w:rFonts w:hint="eastAsia" w:hAnsi="宋体"/>
          <w:bCs/>
        </w:rPr>
        <w:t>7.7   采购人、采购集采机构应当在收到质疑函后7个工作日内作出答复，并以书面形式通知质疑供应商和其他有关供应商。质疑答复的内容不得涉及商业秘密。</w:t>
      </w:r>
    </w:p>
    <w:p>
      <w:pPr>
        <w:pStyle w:val="17"/>
        <w:spacing w:line="440" w:lineRule="exact"/>
        <w:ind w:left="550" w:hanging="550" w:hangingChars="262"/>
        <w:rPr>
          <w:rFonts w:hAnsi="宋体"/>
          <w:bCs/>
        </w:rPr>
      </w:pPr>
      <w:r>
        <w:rPr>
          <w:rFonts w:hint="eastAsia" w:hAnsi="宋体"/>
          <w:bCs/>
        </w:rPr>
        <w:t>7.8   未尽事宜，参照相关法律法规。</w:t>
      </w:r>
    </w:p>
    <w:p>
      <w:pPr>
        <w:pStyle w:val="17"/>
        <w:spacing w:line="440" w:lineRule="exact"/>
        <w:rPr>
          <w:rFonts w:hAnsi="宋体"/>
          <w:bCs/>
        </w:rPr>
      </w:pPr>
      <w:r>
        <w:rPr>
          <w:rFonts w:hint="eastAsia" w:hAnsi="宋体"/>
          <w:bCs/>
        </w:rPr>
        <w:t>8.　  投诉</w:t>
      </w:r>
    </w:p>
    <w:p>
      <w:pPr>
        <w:pStyle w:val="17"/>
        <w:spacing w:line="440" w:lineRule="exact"/>
        <w:rPr>
          <w:rFonts w:hAnsi="宋体"/>
          <w:bCs/>
        </w:rPr>
      </w:pPr>
      <w:r>
        <w:rPr>
          <w:rFonts w:hint="eastAsia" w:hAnsi="宋体"/>
          <w:bCs/>
        </w:rPr>
        <w:t xml:space="preserve">      投诉事项按有关法律法规执行。</w:t>
      </w:r>
    </w:p>
    <w:p>
      <w:pPr>
        <w:pStyle w:val="17"/>
        <w:spacing w:line="440" w:lineRule="exact"/>
        <w:rPr>
          <w:rFonts w:hAnsi="宋体"/>
          <w:bCs/>
        </w:rPr>
      </w:pPr>
    </w:p>
    <w:p>
      <w:pPr>
        <w:pStyle w:val="26"/>
        <w:jc w:val="left"/>
        <w:rPr>
          <w:sz w:val="24"/>
          <w:szCs w:val="24"/>
        </w:rPr>
      </w:pPr>
      <w:r>
        <w:rPr>
          <w:rFonts w:hint="eastAsia"/>
          <w:sz w:val="24"/>
          <w:szCs w:val="24"/>
        </w:rPr>
        <w:t>二、招标文件</w:t>
      </w:r>
    </w:p>
    <w:p>
      <w:pPr>
        <w:pStyle w:val="17"/>
        <w:spacing w:line="440" w:lineRule="exact"/>
        <w:rPr>
          <w:rFonts w:hAnsi="宋体"/>
          <w:bCs/>
        </w:rPr>
      </w:pPr>
      <w:r>
        <w:rPr>
          <w:rFonts w:hint="eastAsia" w:hAnsi="宋体"/>
          <w:bCs/>
        </w:rPr>
        <w:t>9.    招标文件构成</w:t>
      </w:r>
    </w:p>
    <w:p>
      <w:pPr>
        <w:pStyle w:val="17"/>
        <w:spacing w:line="440" w:lineRule="exact"/>
        <w:ind w:left="630" w:hanging="630" w:hangingChars="300"/>
        <w:rPr>
          <w:rFonts w:hAnsi="宋体"/>
        </w:rPr>
      </w:pPr>
      <w:r>
        <w:rPr>
          <w:rFonts w:hint="eastAsia" w:hAnsi="宋体"/>
        </w:rPr>
        <w:t>9.1   要求提供的货物、招标过程及合同条款在采购文件中均有说明，</w:t>
      </w:r>
      <w:r>
        <w:rPr>
          <w:rFonts w:hint="eastAsia" w:hAnsi="宋体"/>
          <w:bCs/>
        </w:rPr>
        <w:t>招标</w:t>
      </w:r>
      <w:r>
        <w:rPr>
          <w:rFonts w:hint="eastAsia" w:hAnsi="宋体"/>
        </w:rPr>
        <w:t>文件分为七章，各章的内容如下：</w:t>
      </w:r>
    </w:p>
    <w:p>
      <w:pPr>
        <w:pStyle w:val="17"/>
        <w:spacing w:line="440" w:lineRule="exact"/>
        <w:ind w:firstLine="630" w:firstLineChars="300"/>
        <w:rPr>
          <w:rFonts w:hAnsi="宋体"/>
        </w:rPr>
      </w:pPr>
      <w:r>
        <w:rPr>
          <w:rFonts w:hint="eastAsia" w:hAnsi="宋体"/>
        </w:rPr>
        <w:t>第一章  投标邀请</w:t>
      </w:r>
    </w:p>
    <w:p>
      <w:pPr>
        <w:pStyle w:val="17"/>
        <w:spacing w:line="440" w:lineRule="exact"/>
        <w:ind w:firstLine="630" w:firstLineChars="300"/>
        <w:rPr>
          <w:rFonts w:hAnsi="宋体"/>
        </w:rPr>
      </w:pPr>
      <w:r>
        <w:rPr>
          <w:rFonts w:hint="eastAsia" w:hAnsi="宋体"/>
        </w:rPr>
        <w:t>第二章  投标人须知</w:t>
      </w:r>
    </w:p>
    <w:p>
      <w:pPr>
        <w:pStyle w:val="17"/>
        <w:spacing w:line="440" w:lineRule="exact"/>
        <w:rPr>
          <w:rFonts w:hAnsi="宋体"/>
        </w:rPr>
      </w:pPr>
      <w:r>
        <w:rPr>
          <w:rFonts w:hint="eastAsia" w:hAnsi="宋体"/>
        </w:rPr>
        <w:t xml:space="preserve">      第三章  政府采购合同格式</w:t>
      </w:r>
    </w:p>
    <w:p>
      <w:pPr>
        <w:pStyle w:val="17"/>
        <w:spacing w:line="440" w:lineRule="exact"/>
        <w:rPr>
          <w:rFonts w:hAnsi="宋体"/>
        </w:rPr>
      </w:pPr>
      <w:r>
        <w:rPr>
          <w:rFonts w:hint="eastAsia" w:hAnsi="宋体"/>
        </w:rPr>
        <w:t xml:space="preserve">      第四章  投标文件格式</w:t>
      </w:r>
    </w:p>
    <w:p>
      <w:pPr>
        <w:pStyle w:val="17"/>
        <w:spacing w:line="440" w:lineRule="exact"/>
        <w:rPr>
          <w:rFonts w:hAnsi="宋体"/>
        </w:rPr>
      </w:pPr>
      <w:r>
        <w:rPr>
          <w:rFonts w:hint="eastAsia" w:hAnsi="宋体"/>
        </w:rPr>
        <w:t xml:space="preserve">      第五章  合同专用</w:t>
      </w:r>
      <w:r>
        <w:rPr>
          <w:rFonts w:hint="eastAsia" w:hAnsi="宋体"/>
          <w:bCs/>
        </w:rPr>
        <w:t>条款表</w:t>
      </w:r>
    </w:p>
    <w:p>
      <w:pPr>
        <w:pStyle w:val="17"/>
        <w:spacing w:line="440" w:lineRule="exact"/>
        <w:ind w:firstLine="615" w:firstLineChars="293"/>
        <w:rPr>
          <w:rFonts w:hAnsi="宋体"/>
        </w:rPr>
      </w:pPr>
      <w:r>
        <w:rPr>
          <w:rFonts w:hint="eastAsia" w:hAnsi="宋体"/>
        </w:rPr>
        <w:t>第六章  项目需求</w:t>
      </w:r>
    </w:p>
    <w:p>
      <w:pPr>
        <w:pStyle w:val="17"/>
        <w:spacing w:line="440" w:lineRule="exact"/>
        <w:ind w:firstLine="630"/>
        <w:rPr>
          <w:rFonts w:hAnsi="宋体"/>
        </w:rPr>
      </w:pPr>
      <w:r>
        <w:rPr>
          <w:rFonts w:hint="eastAsia" w:hAnsi="宋体"/>
        </w:rPr>
        <w:t>第七章  评标办法</w:t>
      </w:r>
    </w:p>
    <w:p>
      <w:pPr>
        <w:pStyle w:val="17"/>
        <w:spacing w:line="440" w:lineRule="exact"/>
        <w:rPr>
          <w:rFonts w:hAnsi="宋体"/>
          <w:bCs/>
        </w:rPr>
      </w:pPr>
      <w:r>
        <w:rPr>
          <w:rFonts w:hint="eastAsia" w:hAnsi="宋体"/>
          <w:bCs/>
        </w:rPr>
        <w:t>10.   采购文件的澄清</w:t>
      </w:r>
    </w:p>
    <w:p>
      <w:pPr>
        <w:pStyle w:val="17"/>
        <w:spacing w:line="440" w:lineRule="exact"/>
        <w:ind w:left="718" w:hanging="718" w:hangingChars="342"/>
        <w:rPr>
          <w:rFonts w:hAnsi="宋体"/>
        </w:rPr>
      </w:pPr>
      <w:r>
        <w:rPr>
          <w:rFonts w:hint="eastAsia" w:hAnsi="宋体"/>
        </w:rPr>
        <w:t xml:space="preserve">10.1  </w:t>
      </w:r>
      <w:r>
        <w:rPr>
          <w:rFonts w:hint="eastAsia" w:hAnsi="宋体"/>
          <w:b/>
          <w:bCs/>
        </w:rPr>
        <w:t>投标人应认真审核《项目需求》中的技术参数、配置及要求，如发现表中技术参数、配置有误或要求不合理的，投标人必须在招标公告截止时间之前通过书面形式（加盖公章）要求采购人或连云港市政府采购中心澄清，否则，由此产生的后果由投标人负责</w:t>
      </w:r>
      <w:r>
        <w:rPr>
          <w:rFonts w:hint="eastAsia" w:hAnsi="宋体"/>
        </w:rPr>
        <w:t>。</w:t>
      </w:r>
    </w:p>
    <w:p>
      <w:pPr>
        <w:pStyle w:val="17"/>
        <w:spacing w:line="440" w:lineRule="exact"/>
        <w:ind w:left="718" w:hanging="718" w:hangingChars="342"/>
        <w:rPr>
          <w:rFonts w:hAnsi="宋体"/>
        </w:rPr>
      </w:pPr>
      <w:r>
        <w:rPr>
          <w:rFonts w:hint="eastAsia" w:hAnsi="宋体"/>
        </w:rPr>
        <w:t>10.2  连云港市政府采购中心答复所有报名参加本项目的投标人（答复中不包含问题的来源）要求澄清的问题，同时认定其他澄清方式为无效。</w:t>
      </w:r>
    </w:p>
    <w:p>
      <w:pPr>
        <w:pStyle w:val="17"/>
        <w:spacing w:line="440" w:lineRule="exact"/>
        <w:ind w:left="718" w:hanging="718" w:hangingChars="342"/>
        <w:rPr>
          <w:rFonts w:hAnsi="宋体"/>
          <w:bCs/>
        </w:rPr>
      </w:pPr>
      <w:r>
        <w:rPr>
          <w:rFonts w:hint="eastAsia" w:hAnsi="宋体"/>
          <w:bCs/>
        </w:rPr>
        <w:t>11.   采购文件的修改</w:t>
      </w:r>
    </w:p>
    <w:p>
      <w:pPr>
        <w:pStyle w:val="17"/>
        <w:spacing w:line="440" w:lineRule="exact"/>
        <w:ind w:left="718" w:hanging="718" w:hangingChars="342"/>
        <w:rPr>
          <w:rFonts w:hAnsi="宋体"/>
        </w:rPr>
      </w:pPr>
      <w:r>
        <w:rPr>
          <w:rFonts w:hint="eastAsia" w:hAnsi="宋体"/>
        </w:rPr>
        <w:t>11.1  连云港市政府采购中心对已发出的采购文件进行必要澄清或者修改的，应当在采购文件要求提交投标文件截止时间十五日前，在政府采购监督管理部门指定的采购信息发布媒体上发布更正公告，并以通知所有报名的投标人。该澄清或者修改的内容为采购文件的组成部分。</w:t>
      </w:r>
    </w:p>
    <w:p>
      <w:pPr>
        <w:pStyle w:val="17"/>
        <w:spacing w:line="440" w:lineRule="exact"/>
        <w:ind w:left="718" w:hanging="718" w:hangingChars="342"/>
        <w:rPr>
          <w:rFonts w:hAnsi="宋体"/>
        </w:rPr>
      </w:pPr>
      <w:r>
        <w:rPr>
          <w:rFonts w:hint="eastAsia" w:hAnsi="宋体"/>
        </w:rPr>
        <w:t>11.2   连云港市政府采购中心和采购人可以视采购具体情况，延长投标截止时间和开标时间，连云港市政府采购中心应当将变更时间通知所有报名参加本项目的投标人，并在政府采购监督管理部门指定的采购信息发布媒体上发布变更公告。</w:t>
      </w:r>
    </w:p>
    <w:p>
      <w:pPr>
        <w:pStyle w:val="17"/>
        <w:spacing w:line="440" w:lineRule="exact"/>
        <w:ind w:left="721" w:hanging="721" w:hangingChars="342"/>
        <w:rPr>
          <w:rFonts w:hAnsi="宋体"/>
          <w:b/>
          <w:bCs/>
        </w:rPr>
      </w:pPr>
    </w:p>
    <w:p>
      <w:pPr>
        <w:pStyle w:val="26"/>
        <w:jc w:val="left"/>
        <w:rPr>
          <w:sz w:val="24"/>
          <w:szCs w:val="24"/>
        </w:rPr>
      </w:pPr>
      <w:r>
        <w:rPr>
          <w:rFonts w:hint="eastAsia"/>
          <w:sz w:val="24"/>
          <w:szCs w:val="24"/>
        </w:rPr>
        <w:t>三、投标文件的编制</w:t>
      </w:r>
    </w:p>
    <w:p>
      <w:pPr>
        <w:pStyle w:val="17"/>
        <w:spacing w:line="440" w:lineRule="exact"/>
        <w:rPr>
          <w:rFonts w:hAnsi="宋体"/>
          <w:bCs/>
        </w:rPr>
      </w:pPr>
      <w:r>
        <w:rPr>
          <w:rFonts w:hint="eastAsia" w:hAnsi="宋体"/>
          <w:bCs/>
        </w:rPr>
        <w:t>12.    投标文件编写注意事项</w:t>
      </w:r>
    </w:p>
    <w:p>
      <w:pPr>
        <w:pStyle w:val="17"/>
        <w:spacing w:line="440" w:lineRule="exact"/>
        <w:ind w:left="718" w:hanging="718" w:hangingChars="342"/>
        <w:rPr>
          <w:rFonts w:hAnsi="宋体"/>
        </w:rPr>
      </w:pPr>
      <w:r>
        <w:rPr>
          <w:rFonts w:hint="eastAsia" w:hAnsi="宋体"/>
        </w:rPr>
        <w:t>12.1   投标人应仔细阅读招标文件，在完全了解招标的内容、技术性能要求(详见项目需求)和商务条件后，编写投标文件。</w:t>
      </w:r>
      <w:r>
        <w:rPr>
          <w:rFonts w:hint="eastAsia" w:hAnsi="宋体"/>
          <w:b/>
          <w:bCs/>
        </w:rPr>
        <w:t>如果没有按照采购文件要求提交全部投标文件或者资料，没有对采购文件的实质性要求和条件作出响应是投标人的风险，并可能导致该投标被拒绝</w:t>
      </w:r>
      <w:r>
        <w:rPr>
          <w:rFonts w:hint="eastAsia" w:hAnsi="宋体"/>
        </w:rPr>
        <w:t>。</w:t>
      </w:r>
    </w:p>
    <w:p>
      <w:pPr>
        <w:pStyle w:val="17"/>
        <w:spacing w:line="440" w:lineRule="exact"/>
        <w:ind w:left="718" w:hanging="718" w:hangingChars="342"/>
        <w:rPr>
          <w:rFonts w:hAnsi="宋体"/>
        </w:rPr>
      </w:pPr>
      <w:r>
        <w:rPr>
          <w:rFonts w:hint="eastAsia" w:hAnsi="宋体"/>
        </w:rPr>
        <w:t>12.2   对招标文件提出的实质性要求和条件作出响应是指投标人必须对招标文件中标明实质性要求和条件的技术参数及性能配置、数量、价格、售后服务、合同主要条款及其它要求等内容</w:t>
      </w:r>
      <w:r>
        <w:rPr>
          <w:rFonts w:hint="eastAsia" w:hAnsi="宋体"/>
          <w:b/>
          <w:bCs/>
        </w:rPr>
        <w:t>作出满足或者优于原要求和条件的承诺</w:t>
      </w:r>
      <w:r>
        <w:rPr>
          <w:rFonts w:hint="eastAsia" w:hAnsi="宋体"/>
        </w:rPr>
        <w:t>。</w:t>
      </w:r>
    </w:p>
    <w:p>
      <w:pPr>
        <w:pStyle w:val="17"/>
        <w:spacing w:line="440" w:lineRule="exact"/>
        <w:ind w:left="718" w:hanging="718" w:hangingChars="342"/>
        <w:rPr>
          <w:rFonts w:hAnsi="宋体"/>
          <w:b/>
          <w:bCs/>
        </w:rPr>
      </w:pPr>
      <w:r>
        <w:rPr>
          <w:rFonts w:hint="eastAsia" w:hAnsi="宋体"/>
        </w:rPr>
        <w:t xml:space="preserve">12.3   </w:t>
      </w:r>
      <w:r>
        <w:rPr>
          <w:rFonts w:hint="eastAsia" w:hAnsi="宋体"/>
          <w:b/>
        </w:rPr>
        <w:t>招标</w:t>
      </w:r>
      <w:r>
        <w:rPr>
          <w:rFonts w:hint="eastAsia" w:hAnsi="宋体"/>
          <w:b/>
          <w:bCs/>
        </w:rPr>
        <w:t>文件中标注★号的部分为实质性要求和条件。</w:t>
      </w:r>
    </w:p>
    <w:p>
      <w:pPr>
        <w:pStyle w:val="17"/>
        <w:spacing w:line="440" w:lineRule="exact"/>
        <w:rPr>
          <w:rFonts w:hAnsi="宋体"/>
          <w:bCs/>
        </w:rPr>
      </w:pPr>
      <w:r>
        <w:rPr>
          <w:rFonts w:hint="eastAsia" w:hAnsi="宋体"/>
          <w:bCs/>
        </w:rPr>
        <w:t>13.    投标的语言及计量单位</w:t>
      </w:r>
    </w:p>
    <w:p>
      <w:pPr>
        <w:pStyle w:val="17"/>
        <w:spacing w:line="440" w:lineRule="exact"/>
        <w:ind w:left="630" w:hanging="630" w:hangingChars="300"/>
        <w:rPr>
          <w:rFonts w:hAnsi="宋体"/>
        </w:rPr>
      </w:pPr>
      <w:r>
        <w:rPr>
          <w:rFonts w:hint="eastAsia" w:hAnsi="宋体"/>
        </w:rPr>
        <w:t>13.1   投标人的投标文件以及投标人与连云港市政府采购中心就有关投标的所有来往函电统一使用中文（特别规定除外）。</w:t>
      </w:r>
    </w:p>
    <w:p>
      <w:pPr>
        <w:pStyle w:val="17"/>
        <w:spacing w:line="440" w:lineRule="exact"/>
        <w:rPr>
          <w:rFonts w:hAnsi="宋体"/>
        </w:rPr>
      </w:pPr>
      <w:r>
        <w:rPr>
          <w:rFonts w:hint="eastAsia" w:hAnsi="宋体"/>
        </w:rPr>
        <w:t>13.2   投标文件中使用的计量单位除采购文件中有特殊规定外，一律使用中国法定计量单位。</w:t>
      </w:r>
    </w:p>
    <w:p>
      <w:pPr>
        <w:pStyle w:val="17"/>
        <w:spacing w:line="440" w:lineRule="exact"/>
        <w:rPr>
          <w:rFonts w:hAnsi="宋体"/>
          <w:bCs/>
        </w:rPr>
      </w:pPr>
      <w:r>
        <w:rPr>
          <w:rFonts w:hint="eastAsia" w:hAnsi="宋体"/>
          <w:bCs/>
        </w:rPr>
        <w:t>14.　　投标文件构成</w:t>
      </w:r>
    </w:p>
    <w:p>
      <w:pPr>
        <w:pStyle w:val="17"/>
        <w:spacing w:line="440" w:lineRule="exact"/>
        <w:ind w:left="630" w:hanging="630" w:hangingChars="300"/>
        <w:rPr>
          <w:rFonts w:hAnsi="宋体"/>
        </w:rPr>
      </w:pPr>
      <w:r>
        <w:rPr>
          <w:rFonts w:hint="eastAsia" w:hAnsi="宋体"/>
        </w:rPr>
        <w:t>14.1   投标人编写的投标文件应包括报价文件、资格审查文件和商务技术文件三部分内容，</w:t>
      </w:r>
      <w:r>
        <w:rPr>
          <w:rFonts w:hint="eastAsia" w:hAnsi="宋体"/>
          <w:b/>
          <w:bCs/>
        </w:rPr>
        <w:t>并按以下顺序分别装订成册</w:t>
      </w:r>
      <w:r>
        <w:rPr>
          <w:rFonts w:hint="eastAsia" w:hAnsi="宋体"/>
        </w:rPr>
        <w:t>。有关文件的提交如未特别注明需提供原件的，可提供复印件。</w:t>
      </w:r>
    </w:p>
    <w:p>
      <w:pPr>
        <w:pStyle w:val="17"/>
        <w:spacing w:line="440" w:lineRule="exact"/>
        <w:ind w:left="630" w:hanging="630" w:hangingChars="300"/>
        <w:rPr>
          <w:rFonts w:hAnsi="宋体"/>
          <w:b/>
        </w:rPr>
      </w:pPr>
      <w:r>
        <w:rPr>
          <w:rFonts w:hint="eastAsia" w:hAnsi="宋体"/>
        </w:rPr>
        <w:t>14.1</w:t>
      </w:r>
      <w:r>
        <w:rPr>
          <w:rFonts w:hAnsi="宋体"/>
        </w:rPr>
        <w:t>.1</w:t>
      </w:r>
      <w:r>
        <w:rPr>
          <w:rFonts w:hint="eastAsia" w:hAnsi="宋体"/>
        </w:rPr>
        <w:t>报价文件：</w:t>
      </w:r>
      <w:r>
        <w:rPr>
          <w:rFonts w:hint="eastAsia" w:hAnsi="宋体"/>
          <w:b/>
        </w:rPr>
        <w:t>（报价文件</w:t>
      </w:r>
      <w:r>
        <w:rPr>
          <w:rFonts w:hint="eastAsia" w:hAnsi="宋体"/>
          <w:b/>
          <w:bCs/>
        </w:rPr>
        <w:t>单独装订，投标函、开标一览表、投标报价表</w:t>
      </w:r>
      <w:r>
        <w:rPr>
          <w:rFonts w:hint="eastAsia" w:hAnsi="宋体"/>
          <w:b/>
        </w:rPr>
        <w:t>加盖投标人公章必须提交，否则投标无效）</w:t>
      </w:r>
    </w:p>
    <w:p>
      <w:pPr>
        <w:pStyle w:val="17"/>
        <w:spacing w:line="440" w:lineRule="exact"/>
        <w:ind w:left="630" w:leftChars="300"/>
        <w:rPr>
          <w:rFonts w:hAnsi="宋体"/>
        </w:rPr>
      </w:pPr>
      <w:r>
        <w:rPr>
          <w:rFonts w:hint="eastAsia" w:hAnsi="宋体"/>
        </w:rPr>
        <w:t>（1）投标函：按第四章投标文件格式提供的“投标函（格式）”的格式及要求填写；</w:t>
      </w:r>
    </w:p>
    <w:p>
      <w:pPr>
        <w:pStyle w:val="17"/>
        <w:spacing w:line="440" w:lineRule="exact"/>
        <w:ind w:left="630" w:leftChars="300"/>
        <w:rPr>
          <w:rFonts w:hAnsi="宋体"/>
        </w:rPr>
      </w:pPr>
      <w:r>
        <w:rPr>
          <w:rFonts w:hint="eastAsia" w:hAnsi="宋体"/>
        </w:rPr>
        <w:t>（2）</w:t>
      </w:r>
      <w:r>
        <w:rPr>
          <w:rFonts w:hint="eastAsia" w:hAnsi="宋体"/>
          <w:szCs w:val="21"/>
        </w:rPr>
        <w:t>开标一览表</w:t>
      </w:r>
      <w:r>
        <w:rPr>
          <w:rFonts w:hint="eastAsia" w:hAnsi="宋体"/>
        </w:rPr>
        <w:t>：按第四章投标文件格式提供的“</w:t>
      </w:r>
      <w:r>
        <w:rPr>
          <w:rFonts w:hint="eastAsia" w:hAnsi="宋体"/>
          <w:szCs w:val="21"/>
        </w:rPr>
        <w:t>开标一览表</w:t>
      </w:r>
      <w:r>
        <w:rPr>
          <w:rFonts w:hint="eastAsia" w:hAnsi="宋体"/>
        </w:rPr>
        <w:t>（格式）”格式及要求填写；</w:t>
      </w:r>
    </w:p>
    <w:p>
      <w:pPr>
        <w:pStyle w:val="17"/>
        <w:spacing w:line="440" w:lineRule="exact"/>
        <w:ind w:left="630" w:leftChars="300"/>
        <w:rPr>
          <w:rFonts w:hAnsi="宋体"/>
        </w:rPr>
      </w:pPr>
      <w:r>
        <w:rPr>
          <w:rFonts w:hint="eastAsia" w:hAnsi="宋体"/>
        </w:rPr>
        <w:t>（3）投标报价表：按第四章投标文件格式提供的“投标报价表（格式）”格式及要求填写；</w:t>
      </w:r>
    </w:p>
    <w:p>
      <w:pPr>
        <w:pStyle w:val="17"/>
        <w:spacing w:line="440" w:lineRule="exact"/>
        <w:ind w:left="630" w:leftChars="300"/>
        <w:rPr>
          <w:rFonts w:hAnsi="宋体"/>
          <w:color w:val="FF0000"/>
        </w:rPr>
      </w:pPr>
      <w:r>
        <w:rPr>
          <w:rFonts w:hint="eastAsia" w:hAnsi="宋体"/>
          <w:color w:val="FF0000"/>
        </w:rPr>
        <w:t>（4）中小企业声明函、监狱企业声明函、残疾人福利性单位声明函及其他相关的充分的证明材料：详见第七章评标办法（五）政策功能。（可选）</w:t>
      </w:r>
    </w:p>
    <w:p>
      <w:pPr>
        <w:pStyle w:val="17"/>
        <w:spacing w:line="440" w:lineRule="exact"/>
        <w:ind w:left="630" w:hanging="630" w:hangingChars="300"/>
        <w:rPr>
          <w:rFonts w:hAnsi="宋体"/>
          <w:b/>
          <w:bCs/>
        </w:rPr>
      </w:pPr>
      <w:r>
        <w:rPr>
          <w:rFonts w:hint="eastAsia" w:hAnsi="宋体"/>
        </w:rPr>
        <w:t>14.1.2资格审查文件：</w:t>
      </w:r>
      <w:r>
        <w:rPr>
          <w:rFonts w:hint="eastAsia" w:hAnsi="宋体"/>
          <w:b/>
        </w:rPr>
        <w:t>（资格审查文件中不得包含投标报价,否则投标无效；委托集采时必须提交法定代表人授权委托书，否则投标无效；联合体投标时必须提交联合体协议，否则投标无效；其他文件必须提交，否则投标无效）</w:t>
      </w:r>
    </w:p>
    <w:p>
      <w:pPr>
        <w:pStyle w:val="17"/>
        <w:spacing w:line="440" w:lineRule="exact"/>
        <w:ind w:left="630"/>
        <w:rPr>
          <w:rFonts w:hAnsi="宋体"/>
        </w:rPr>
      </w:pPr>
      <w:r>
        <w:rPr>
          <w:rFonts w:hint="eastAsia" w:hAnsi="宋体"/>
        </w:rPr>
        <w:t>（1）法人或者其他组织的营业执照等证明文件复印件并同时提供法定代表人身份证正反面复印件，自然人的身份证正反面复印件；</w:t>
      </w:r>
      <w:r>
        <w:rPr>
          <w:rFonts w:hint="eastAsia" w:hAnsi="宋体"/>
          <w:b/>
          <w:bCs/>
          <w:lang w:eastAsia="zh-CN"/>
        </w:rPr>
        <w:t>（</w:t>
      </w:r>
      <w:r>
        <w:rPr>
          <w:rFonts w:hint="eastAsia" w:hAnsi="宋体"/>
          <w:b/>
          <w:bCs/>
          <w:lang w:val="en-US" w:eastAsia="zh-CN"/>
        </w:rPr>
        <w:t>复印件</w:t>
      </w:r>
      <w:r>
        <w:rPr>
          <w:rFonts w:hint="eastAsia" w:hAnsi="宋体"/>
          <w:b/>
          <w:bCs/>
          <w:lang w:eastAsia="zh-CN"/>
        </w:rPr>
        <w:t>）</w:t>
      </w:r>
    </w:p>
    <w:p>
      <w:pPr>
        <w:pStyle w:val="17"/>
        <w:spacing w:line="440" w:lineRule="exact"/>
        <w:ind w:left="630"/>
        <w:rPr>
          <w:rFonts w:hAnsi="宋体"/>
        </w:rPr>
      </w:pPr>
      <w:r>
        <w:rPr>
          <w:rFonts w:hint="eastAsia" w:hAnsi="宋体"/>
        </w:rPr>
        <w:t>（2）2017年度（或2016年度）</w:t>
      </w:r>
      <w:r>
        <w:rPr>
          <w:rFonts w:hint="eastAsia" w:hAnsi="宋体"/>
          <w:lang w:val="en-US" w:eastAsia="zh-CN"/>
        </w:rPr>
        <w:t>经审计的</w:t>
      </w:r>
      <w:r>
        <w:rPr>
          <w:rFonts w:hint="eastAsia" w:hAnsi="宋体"/>
        </w:rPr>
        <w:t>财务状况报告（成立不满一年不需提供）；</w:t>
      </w:r>
      <w:r>
        <w:rPr>
          <w:rFonts w:hint="eastAsia" w:hAnsi="宋体"/>
          <w:b/>
          <w:bCs/>
          <w:lang w:eastAsia="zh-CN"/>
        </w:rPr>
        <w:t>（</w:t>
      </w:r>
      <w:r>
        <w:rPr>
          <w:rFonts w:hint="eastAsia" w:hAnsi="宋体"/>
          <w:b/>
          <w:bCs/>
          <w:lang w:val="en-US" w:eastAsia="zh-CN"/>
        </w:rPr>
        <w:t>复印件</w:t>
      </w:r>
      <w:r>
        <w:rPr>
          <w:rFonts w:hint="eastAsia" w:hAnsi="宋体"/>
          <w:b/>
          <w:bCs/>
          <w:lang w:eastAsia="zh-CN"/>
        </w:rPr>
        <w:t>）</w:t>
      </w:r>
    </w:p>
    <w:p>
      <w:pPr>
        <w:pStyle w:val="17"/>
        <w:spacing w:line="440" w:lineRule="exact"/>
        <w:ind w:left="630"/>
        <w:rPr>
          <w:rFonts w:hAnsi="宋体"/>
        </w:rPr>
      </w:pPr>
      <w:r>
        <w:rPr>
          <w:rFonts w:hint="eastAsia" w:hAnsi="宋体"/>
        </w:rPr>
        <w:t>（3）依法缴纳税收和社会保障资金的相关材料；</w:t>
      </w:r>
      <w:r>
        <w:rPr>
          <w:rFonts w:hint="eastAsia" w:hAnsi="宋体"/>
          <w:b/>
          <w:bCs/>
          <w:lang w:eastAsia="zh-CN"/>
        </w:rPr>
        <w:t>（</w:t>
      </w:r>
      <w:r>
        <w:rPr>
          <w:rFonts w:hint="eastAsia" w:hAnsi="宋体"/>
          <w:b/>
          <w:bCs/>
          <w:lang w:val="en-US" w:eastAsia="zh-CN"/>
        </w:rPr>
        <w:t>复印件</w:t>
      </w:r>
      <w:r>
        <w:rPr>
          <w:rFonts w:hint="eastAsia" w:hAnsi="宋体"/>
          <w:b/>
          <w:bCs/>
          <w:lang w:eastAsia="zh-CN"/>
        </w:rPr>
        <w:t>）</w:t>
      </w:r>
    </w:p>
    <w:p>
      <w:pPr>
        <w:pStyle w:val="17"/>
        <w:spacing w:line="440" w:lineRule="exact"/>
        <w:ind w:left="630"/>
        <w:rPr>
          <w:rFonts w:hAnsi="宋体"/>
        </w:rPr>
      </w:pPr>
      <w:r>
        <w:rPr>
          <w:rFonts w:hint="eastAsia" w:hAnsi="宋体"/>
        </w:rPr>
        <w:t>（4）具备履行合同所必需的设备和专业技术能力的证明材料；</w:t>
      </w:r>
      <w:r>
        <w:rPr>
          <w:rFonts w:hint="eastAsia" w:hAnsi="宋体"/>
          <w:b/>
          <w:bCs/>
          <w:lang w:eastAsia="zh-CN"/>
        </w:rPr>
        <w:t>（</w:t>
      </w:r>
      <w:r>
        <w:rPr>
          <w:rFonts w:hint="eastAsia" w:hAnsi="宋体"/>
          <w:b/>
          <w:bCs/>
          <w:lang w:val="en-US" w:eastAsia="zh-CN"/>
        </w:rPr>
        <w:t>复印件</w:t>
      </w:r>
      <w:r>
        <w:rPr>
          <w:rFonts w:hint="eastAsia" w:hAnsi="宋体"/>
          <w:b/>
          <w:bCs/>
          <w:lang w:eastAsia="zh-CN"/>
        </w:rPr>
        <w:t>）</w:t>
      </w:r>
    </w:p>
    <w:p>
      <w:pPr>
        <w:pStyle w:val="17"/>
        <w:spacing w:line="440" w:lineRule="exact"/>
        <w:ind w:left="630"/>
        <w:rPr>
          <w:rFonts w:hAnsi="宋体"/>
        </w:rPr>
      </w:pPr>
      <w:r>
        <w:rPr>
          <w:rFonts w:hint="eastAsia" w:hAnsi="宋体"/>
        </w:rPr>
        <w:t>（5）参加政府采购活动前3年内在经营活动中没有重大违法记录的书面声明（第四章格式5）；</w:t>
      </w:r>
    </w:p>
    <w:p>
      <w:pPr>
        <w:pStyle w:val="17"/>
        <w:spacing w:line="440" w:lineRule="exact"/>
        <w:ind w:left="630"/>
        <w:rPr>
          <w:rFonts w:hAnsi="宋体"/>
        </w:rPr>
      </w:pPr>
      <w:r>
        <w:rPr>
          <w:rFonts w:hint="eastAsia" w:hAnsi="宋体"/>
        </w:rPr>
        <w:t>（6）</w:t>
      </w:r>
      <w:r>
        <w:rPr>
          <w:rFonts w:hint="eastAsia" w:hAnsi="宋体"/>
          <w:lang w:val="en-US" w:eastAsia="zh-CN"/>
        </w:rPr>
        <w:t>不接受联合体</w:t>
      </w:r>
    </w:p>
    <w:p>
      <w:pPr>
        <w:pStyle w:val="17"/>
        <w:spacing w:line="440" w:lineRule="exact"/>
        <w:ind w:left="630"/>
        <w:rPr>
          <w:rFonts w:hAnsi="宋体"/>
        </w:rPr>
      </w:pPr>
      <w:r>
        <w:rPr>
          <w:rFonts w:hint="eastAsia" w:hAnsi="宋体"/>
        </w:rPr>
        <w:t>（7）法定代表人授权委托书原件（按第四章格式4要求填写）和委托集采人身份证复印件（如果使用第二代身份证应提供正、反面复印件，如非中国国籍应提供护照复印件，要求证件有效并与法定代表人授权委托书中的委托集采人相符）；</w:t>
      </w:r>
      <w:r>
        <w:rPr>
          <w:rFonts w:hint="eastAsia" w:hAnsi="宋体"/>
          <w:b/>
        </w:rPr>
        <w:t>（委托集采时必须提交，否则投标无效）</w:t>
      </w:r>
    </w:p>
    <w:p>
      <w:pPr>
        <w:pStyle w:val="17"/>
        <w:spacing w:line="440" w:lineRule="exact"/>
        <w:ind w:left="630"/>
        <w:rPr>
          <w:rFonts w:hAnsi="宋体"/>
        </w:rPr>
      </w:pPr>
      <w:r>
        <w:rPr>
          <w:rFonts w:hint="eastAsia" w:hAnsi="宋体"/>
        </w:rPr>
        <w:t>（8）根据《最高人民检察院关于开展行贿犯罪档案查询工作的管理规定（暂行）》的规定，提交无行贿犯罪记录的证明（无行贿犯罪档案查询地点：投标人当地检察机关或连云港市人民检察院职务犯罪预防处，联系电话：0518-85683570或登录http://218.94.117.252:12301/查询）；</w:t>
      </w:r>
    </w:p>
    <w:p>
      <w:pPr>
        <w:pStyle w:val="17"/>
        <w:spacing w:line="440" w:lineRule="exact"/>
        <w:ind w:left="630"/>
        <w:rPr>
          <w:rFonts w:hAnsi="宋体"/>
        </w:rPr>
      </w:pPr>
      <w:r>
        <w:rPr>
          <w:rFonts w:hint="eastAsia" w:hAnsi="宋体"/>
        </w:rPr>
        <w:t>（9）具备法律、行政法规规定的其他条件的证明材料；</w:t>
      </w:r>
    </w:p>
    <w:p>
      <w:pPr>
        <w:pStyle w:val="17"/>
        <w:spacing w:line="440" w:lineRule="exact"/>
        <w:ind w:left="630"/>
        <w:rPr>
          <w:rFonts w:hAnsi="宋体"/>
        </w:rPr>
      </w:pPr>
      <w:r>
        <w:rPr>
          <w:rFonts w:hint="eastAsia" w:hAnsi="宋体"/>
        </w:rPr>
        <w:t>（10）其它资格条件规定的证明材料(见第一章“投标邀请”)。</w:t>
      </w:r>
    </w:p>
    <w:p>
      <w:pPr>
        <w:pStyle w:val="17"/>
        <w:spacing w:line="440" w:lineRule="exact"/>
        <w:ind w:left="718" w:hanging="718" w:hangingChars="342"/>
        <w:rPr>
          <w:rFonts w:hAnsi="宋体"/>
          <w:b/>
          <w:bCs/>
        </w:rPr>
      </w:pPr>
      <w:r>
        <w:rPr>
          <w:rFonts w:hint="eastAsia" w:hAnsi="宋体"/>
        </w:rPr>
        <w:t>14.1.3  商务技术文件：</w:t>
      </w:r>
      <w:r>
        <w:rPr>
          <w:rFonts w:hint="eastAsia" w:hAnsi="宋体"/>
          <w:b/>
          <w:bCs/>
        </w:rPr>
        <w:t>（商务技术文件中不得包含投标报价,否则投标无效）</w:t>
      </w:r>
    </w:p>
    <w:p>
      <w:pPr>
        <w:pStyle w:val="17"/>
        <w:spacing w:line="440" w:lineRule="exact"/>
        <w:ind w:left="630"/>
        <w:rPr>
          <w:rFonts w:hAnsi="宋体"/>
        </w:rPr>
      </w:pPr>
      <w:r>
        <w:rPr>
          <w:rFonts w:hint="eastAsia" w:hAnsi="宋体"/>
        </w:rPr>
        <w:t>商务技术文件应包含但不限于以下内容：</w:t>
      </w:r>
    </w:p>
    <w:p>
      <w:pPr>
        <w:pStyle w:val="17"/>
        <w:spacing w:line="440" w:lineRule="exact"/>
        <w:ind w:left="630"/>
        <w:rPr>
          <w:rFonts w:hAnsi="宋体"/>
        </w:rPr>
      </w:pPr>
      <w:r>
        <w:rPr>
          <w:rFonts w:hint="eastAsia" w:hAnsi="宋体"/>
        </w:rPr>
        <w:t>（1）商务条款偏离表：按第四章投标文件格式提供的“商务条款偏离表” 的格式及要求，并根据投标人投标承诺的商务条件与“合同条款”、“合同专用条款表”、“项目需求”的差异填写；（必须提交，否则该投标人投标无效）</w:t>
      </w:r>
    </w:p>
    <w:p>
      <w:pPr>
        <w:pStyle w:val="17"/>
        <w:spacing w:line="440" w:lineRule="exact"/>
        <w:ind w:left="630"/>
        <w:rPr>
          <w:rFonts w:hAnsi="宋体"/>
        </w:rPr>
      </w:pPr>
      <w:r>
        <w:rPr>
          <w:rFonts w:hint="eastAsia" w:hAnsi="宋体"/>
        </w:rPr>
        <w:t>（2）售后服务承诺书；（必须提交，否则该投标人投标无效）</w:t>
      </w:r>
    </w:p>
    <w:p>
      <w:pPr>
        <w:pStyle w:val="17"/>
        <w:spacing w:line="440" w:lineRule="exact"/>
        <w:ind w:left="630"/>
        <w:rPr>
          <w:rFonts w:hAnsi="宋体"/>
        </w:rPr>
      </w:pPr>
      <w:r>
        <w:rPr>
          <w:rFonts w:hint="eastAsia" w:hAnsi="宋体"/>
        </w:rPr>
        <w:t>（3）技术规格偏离表：按第四章投标文件格式提供的“技术规格偏离表”的格式及要求，根据投标人投标的货物与“项目需求”及相关技术规格要求的差异填写；（必须提交，否则该投标人投标无效）</w:t>
      </w:r>
    </w:p>
    <w:p>
      <w:pPr>
        <w:pStyle w:val="17"/>
        <w:spacing w:line="440" w:lineRule="exact"/>
        <w:ind w:left="630"/>
        <w:rPr>
          <w:rFonts w:hAnsi="宋体"/>
        </w:rPr>
      </w:pPr>
      <w:r>
        <w:rPr>
          <w:rFonts w:hint="eastAsia" w:hAnsi="宋体"/>
        </w:rPr>
        <w:t>（4）产品技术资料，如主要技术指标或参数及性能的详细说明等，有图片的应提交图片；（必须提交，否则该投标人投标无效）</w:t>
      </w:r>
    </w:p>
    <w:p>
      <w:pPr>
        <w:pStyle w:val="17"/>
        <w:spacing w:line="440" w:lineRule="exact"/>
        <w:ind w:left="630"/>
        <w:rPr>
          <w:rFonts w:hAnsi="宋体"/>
        </w:rPr>
      </w:pPr>
      <w:r>
        <w:rPr>
          <w:rFonts w:hint="eastAsia" w:hAnsi="宋体"/>
        </w:rPr>
        <w:t>（5）环境标志产品政府采购清单内的产品、节能产品政府采购清单内的产品、中国自主创新产品或者具有中国自主知识产权的产品的清单或证书复印件；（如有请提供，作为评标依据）</w:t>
      </w:r>
    </w:p>
    <w:p>
      <w:pPr>
        <w:pStyle w:val="17"/>
        <w:spacing w:line="440" w:lineRule="exact"/>
        <w:ind w:left="630"/>
        <w:rPr>
          <w:rFonts w:hAnsi="宋体"/>
        </w:rPr>
      </w:pPr>
      <w:r>
        <w:rPr>
          <w:rFonts w:hint="eastAsia" w:hAnsi="宋体"/>
        </w:rPr>
        <w:t>（6）招标文件规定的其他文件；</w:t>
      </w:r>
    </w:p>
    <w:p>
      <w:pPr>
        <w:pStyle w:val="17"/>
        <w:spacing w:line="440" w:lineRule="exact"/>
        <w:ind w:left="630"/>
        <w:rPr>
          <w:rFonts w:hAnsi="宋体"/>
        </w:rPr>
      </w:pPr>
      <w:r>
        <w:rPr>
          <w:rFonts w:hint="eastAsia" w:hAnsi="宋体"/>
        </w:rPr>
        <w:t>（7）其它（见第一章“投标邀请”、第六章“项目需求”）。</w:t>
      </w:r>
    </w:p>
    <w:p>
      <w:pPr>
        <w:pStyle w:val="17"/>
        <w:tabs>
          <w:tab w:val="left" w:pos="3030"/>
        </w:tabs>
        <w:spacing w:line="440" w:lineRule="exact"/>
        <w:rPr>
          <w:rFonts w:hAnsi="宋体"/>
          <w:bCs/>
        </w:rPr>
      </w:pPr>
      <w:r>
        <w:rPr>
          <w:rFonts w:hint="eastAsia" w:hAnsi="宋体"/>
          <w:bCs/>
        </w:rPr>
        <w:t>15.   投标文件的格式要求</w:t>
      </w:r>
    </w:p>
    <w:p>
      <w:pPr>
        <w:pStyle w:val="17"/>
        <w:tabs>
          <w:tab w:val="left" w:pos="3030"/>
        </w:tabs>
        <w:spacing w:line="440" w:lineRule="exact"/>
        <w:ind w:left="540" w:hanging="539" w:hangingChars="257"/>
        <w:rPr>
          <w:rFonts w:hAnsi="宋体"/>
          <w:bCs/>
        </w:rPr>
      </w:pPr>
      <w:r>
        <w:rPr>
          <w:rFonts w:hint="eastAsia" w:hAnsi="宋体"/>
        </w:rPr>
        <w:t>15.1  投标人必须按第四章投标文件格式提供的格式完整地填写“投标函”、“投标报价表”、“法定代表人授权委托书”、“声明”、“商务条款偏离表”、“售后服务承诺书”、“技术规格偏离表”、“项目需求响应方案”等。</w:t>
      </w:r>
    </w:p>
    <w:p>
      <w:pPr>
        <w:pStyle w:val="17"/>
        <w:tabs>
          <w:tab w:val="left" w:pos="3030"/>
        </w:tabs>
        <w:spacing w:line="440" w:lineRule="exact"/>
        <w:rPr>
          <w:rFonts w:hAnsi="宋体"/>
          <w:bCs/>
        </w:rPr>
      </w:pPr>
      <w:r>
        <w:rPr>
          <w:rFonts w:hint="eastAsia" w:hAnsi="宋体"/>
          <w:bCs/>
        </w:rPr>
        <w:t>16.   投标报价</w:t>
      </w:r>
    </w:p>
    <w:p>
      <w:pPr>
        <w:pStyle w:val="17"/>
        <w:tabs>
          <w:tab w:val="left" w:pos="3030"/>
        </w:tabs>
        <w:spacing w:line="440" w:lineRule="exact"/>
        <w:ind w:left="630" w:hanging="630" w:hangingChars="300"/>
        <w:rPr>
          <w:rFonts w:hAnsi="宋体"/>
          <w:bCs/>
        </w:rPr>
      </w:pPr>
      <w:r>
        <w:rPr>
          <w:rFonts w:hint="eastAsia" w:hAnsi="宋体"/>
          <w:bCs/>
        </w:rPr>
        <w:t>16.1  投标报价指货物的报价和标准附件、备品备件、专用工具、运输、装卸、验收合格所需的各种费用及必要的保险费用和各项税金等所有费用的总和。投标报价为现场交货价，投标报价必须含以下部分：</w:t>
      </w:r>
    </w:p>
    <w:p>
      <w:pPr>
        <w:pStyle w:val="17"/>
        <w:tabs>
          <w:tab w:val="left" w:pos="3030"/>
        </w:tabs>
        <w:spacing w:line="360" w:lineRule="auto"/>
        <w:ind w:firstLine="420" w:firstLineChars="200"/>
        <w:rPr>
          <w:rFonts w:hAnsi="宋体"/>
          <w:bCs/>
        </w:rPr>
      </w:pPr>
      <w:r>
        <w:rPr>
          <w:rFonts w:hint="eastAsia" w:hAnsi="宋体"/>
          <w:bCs/>
        </w:rPr>
        <w:t>（</w:t>
      </w:r>
      <w:r>
        <w:rPr>
          <w:rFonts w:hAnsi="宋体"/>
          <w:bCs/>
        </w:rPr>
        <w:t>1</w:t>
      </w:r>
      <w:r>
        <w:rPr>
          <w:rFonts w:hint="eastAsia" w:hAnsi="宋体"/>
          <w:bCs/>
        </w:rPr>
        <w:t>）投标的货物总价；</w:t>
      </w:r>
    </w:p>
    <w:p>
      <w:pPr>
        <w:pStyle w:val="17"/>
        <w:tabs>
          <w:tab w:val="left" w:pos="3030"/>
        </w:tabs>
        <w:spacing w:line="360" w:lineRule="auto"/>
        <w:ind w:firstLine="420" w:firstLineChars="200"/>
        <w:rPr>
          <w:rFonts w:hAnsi="宋体"/>
          <w:bCs/>
        </w:rPr>
      </w:pPr>
      <w:r>
        <w:rPr>
          <w:rFonts w:hint="eastAsia" w:hAnsi="宋体"/>
          <w:bCs/>
        </w:rPr>
        <w:t>（2）货物的标准附件、备品备件、专用工具、运输、装卸等各种费用；</w:t>
      </w:r>
    </w:p>
    <w:p>
      <w:pPr>
        <w:pStyle w:val="17"/>
        <w:spacing w:line="360" w:lineRule="auto"/>
        <w:ind w:firstLine="420" w:firstLineChars="200"/>
        <w:rPr>
          <w:rFonts w:hAnsi="宋体"/>
        </w:rPr>
      </w:pPr>
      <w:r>
        <w:rPr>
          <w:rFonts w:hint="eastAsia" w:hAnsi="宋体"/>
        </w:rPr>
        <w:t>（3）必要的保险费用和各项税金；</w:t>
      </w:r>
    </w:p>
    <w:p>
      <w:pPr>
        <w:pStyle w:val="17"/>
        <w:spacing w:line="360" w:lineRule="auto"/>
        <w:ind w:firstLine="420" w:firstLineChars="200"/>
        <w:rPr>
          <w:rFonts w:hAnsi="宋体"/>
          <w:u w:val="single"/>
        </w:rPr>
      </w:pPr>
      <w:r>
        <w:rPr>
          <w:rFonts w:hint="eastAsia" w:hAnsi="宋体"/>
        </w:rPr>
        <w:t>（4）投标总价要求包含安装费用。</w:t>
      </w:r>
    </w:p>
    <w:p>
      <w:pPr>
        <w:pStyle w:val="17"/>
        <w:spacing w:line="440" w:lineRule="exact"/>
        <w:ind w:left="630" w:hanging="630" w:hangingChars="300"/>
        <w:rPr>
          <w:rFonts w:hAnsi="宋体"/>
        </w:rPr>
      </w:pPr>
      <w:r>
        <w:rPr>
          <w:rFonts w:hint="eastAsia" w:hAnsi="宋体"/>
        </w:rPr>
        <w:t>16.2  投标人可就第六章“项目需求”中的</w:t>
      </w:r>
      <w:r>
        <w:rPr>
          <w:rFonts w:hint="eastAsia" w:hAnsi="宋体"/>
          <w:bCs/>
        </w:rPr>
        <w:t>某个分标货物内容作完整唯一报价，也可就所有分标或某几个分标货物内容分别作完整唯一报价</w:t>
      </w:r>
      <w:r>
        <w:rPr>
          <w:rFonts w:hint="eastAsia" w:hAnsi="宋体"/>
        </w:rPr>
        <w:t>。</w:t>
      </w:r>
    </w:p>
    <w:p>
      <w:pPr>
        <w:pStyle w:val="17"/>
        <w:spacing w:line="440" w:lineRule="exact"/>
        <w:rPr>
          <w:rFonts w:hAnsi="宋体"/>
          <w:bCs/>
        </w:rPr>
      </w:pPr>
      <w:r>
        <w:rPr>
          <w:rFonts w:hint="eastAsia" w:hAnsi="宋体"/>
          <w:bCs/>
        </w:rPr>
        <w:t>17.   投标货币</w:t>
      </w:r>
    </w:p>
    <w:p>
      <w:pPr>
        <w:pStyle w:val="17"/>
        <w:spacing w:line="440" w:lineRule="exact"/>
        <w:rPr>
          <w:rFonts w:hAnsi="宋体"/>
          <w:bCs/>
        </w:rPr>
      </w:pPr>
      <w:r>
        <w:rPr>
          <w:rFonts w:hint="eastAsia" w:hAnsi="宋体"/>
        </w:rPr>
        <w:t>17.1  投标应以人民币报价。</w:t>
      </w:r>
    </w:p>
    <w:p>
      <w:pPr>
        <w:pStyle w:val="17"/>
        <w:spacing w:line="440" w:lineRule="exact"/>
        <w:rPr>
          <w:rFonts w:hAnsi="宋体"/>
          <w:bCs/>
        </w:rPr>
      </w:pPr>
      <w:r>
        <w:rPr>
          <w:rFonts w:hint="eastAsia" w:hAnsi="宋体"/>
          <w:bCs/>
        </w:rPr>
        <w:t>18.   投标文件有效期</w:t>
      </w:r>
    </w:p>
    <w:p>
      <w:pPr>
        <w:pStyle w:val="17"/>
        <w:spacing w:line="440" w:lineRule="exact"/>
        <w:ind w:left="630" w:hanging="630" w:hangingChars="300"/>
        <w:rPr>
          <w:rFonts w:hAnsi="宋体"/>
        </w:rPr>
      </w:pPr>
      <w:r>
        <w:rPr>
          <w:rFonts w:hint="eastAsia" w:hAnsi="宋体"/>
        </w:rPr>
        <w:t>18.1  本项目投标文件有效期为：投标文件接收截止时间结束后60天内。</w:t>
      </w:r>
    </w:p>
    <w:p>
      <w:pPr>
        <w:pStyle w:val="17"/>
        <w:spacing w:line="440" w:lineRule="exact"/>
        <w:ind w:left="630" w:hanging="630" w:hangingChars="300"/>
        <w:rPr>
          <w:rFonts w:hAnsi="宋体"/>
          <w:b/>
        </w:rPr>
      </w:pPr>
      <w:r>
        <w:rPr>
          <w:rFonts w:hint="eastAsia" w:hAnsi="宋体"/>
        </w:rPr>
        <w:t>18.2  在特殊情况下，连云港市政府采购中心可与投标人协商延长投标文件的有效期，这种要求与答复均应以书面形式提交。</w:t>
      </w:r>
    </w:p>
    <w:p>
      <w:pPr>
        <w:pStyle w:val="17"/>
        <w:spacing w:line="440" w:lineRule="exact"/>
        <w:rPr>
          <w:rFonts w:hAnsi="宋体"/>
          <w:bCs/>
        </w:rPr>
      </w:pPr>
      <w:r>
        <w:rPr>
          <w:rFonts w:hint="eastAsia" w:hAnsi="宋体"/>
          <w:bCs/>
        </w:rPr>
        <w:t>19.   投标文件的书写要求</w:t>
      </w:r>
    </w:p>
    <w:p>
      <w:pPr>
        <w:pStyle w:val="17"/>
        <w:spacing w:line="440" w:lineRule="exact"/>
        <w:rPr>
          <w:rFonts w:hAnsi="宋体"/>
        </w:rPr>
      </w:pPr>
      <w:r>
        <w:rPr>
          <w:rFonts w:hint="eastAsia" w:hAnsi="宋体"/>
        </w:rPr>
        <w:t>19.1  投标文件须用不褪色的墨水书写或打印。</w:t>
      </w:r>
    </w:p>
    <w:p>
      <w:pPr>
        <w:pStyle w:val="17"/>
        <w:spacing w:line="440" w:lineRule="exact"/>
        <w:rPr>
          <w:rFonts w:hAnsi="宋体"/>
        </w:rPr>
      </w:pPr>
      <w:r>
        <w:rPr>
          <w:rFonts w:hint="eastAsia" w:hAnsi="宋体"/>
        </w:rPr>
        <w:t>19.2  投标文件的书写应清楚工整,修改处应由投标人的法定代表人或其委托集采人签字盖章。</w:t>
      </w:r>
    </w:p>
    <w:p>
      <w:pPr>
        <w:pStyle w:val="17"/>
        <w:spacing w:line="440" w:lineRule="exact"/>
        <w:ind w:left="630" w:hanging="630" w:hangingChars="300"/>
        <w:rPr>
          <w:rFonts w:hAnsi="宋体"/>
        </w:rPr>
      </w:pPr>
      <w:r>
        <w:rPr>
          <w:rFonts w:hint="eastAsia" w:hAnsi="宋体"/>
        </w:rPr>
        <w:t>19.3  字迹潦草、表达不清、未按要求填写而导致非唯一理解，造成非实质性响应采购文件的投标文件将会被认定为无效的投标。</w:t>
      </w:r>
    </w:p>
    <w:p>
      <w:pPr>
        <w:pStyle w:val="17"/>
        <w:spacing w:line="440" w:lineRule="exact"/>
        <w:rPr>
          <w:rFonts w:hAnsi="宋体"/>
        </w:rPr>
      </w:pPr>
      <w:r>
        <w:rPr>
          <w:rFonts w:hint="eastAsia" w:hAnsi="宋体"/>
        </w:rPr>
        <w:t>19.4  投标文件应由</w:t>
      </w:r>
      <w:r>
        <w:rPr>
          <w:rFonts w:hint="eastAsia" w:hAnsi="宋体"/>
          <w:b/>
        </w:rPr>
        <w:t>法定代表人或其委托集采人</w:t>
      </w:r>
      <w:r>
        <w:rPr>
          <w:rFonts w:hint="eastAsia" w:hAnsi="宋体"/>
          <w:b/>
          <w:bCs/>
        </w:rPr>
        <w:t>在凡规定签章处逐一签字或盖章并加盖单位的公章</w:t>
      </w:r>
      <w:r>
        <w:rPr>
          <w:rFonts w:hint="eastAsia" w:hAnsi="宋体"/>
        </w:rPr>
        <w:t>。</w:t>
      </w:r>
    </w:p>
    <w:p>
      <w:pPr>
        <w:pStyle w:val="17"/>
        <w:spacing w:line="440" w:lineRule="exact"/>
        <w:ind w:left="630" w:hanging="630" w:hangingChars="300"/>
        <w:rPr>
          <w:rFonts w:hAnsi="宋体"/>
          <w:b/>
        </w:rPr>
      </w:pPr>
      <w:r>
        <w:rPr>
          <w:rFonts w:hint="eastAsia" w:hAnsi="宋体"/>
        </w:rPr>
        <w:t>19.5  投标人制作的投标文件应</w:t>
      </w:r>
      <w:r>
        <w:rPr>
          <w:rFonts w:hint="eastAsia" w:hAnsi="宋体"/>
          <w:b/>
          <w:bCs/>
          <w:szCs w:val="21"/>
        </w:rPr>
        <w:t>按报价文件、资格审查文件和商务技术文件分别装订成册。</w:t>
      </w:r>
      <w:r>
        <w:rPr>
          <w:rFonts w:hint="eastAsia" w:hAnsi="宋体"/>
        </w:rPr>
        <w:t>投标人应准备报价文件、资格审查文件和商务技术文件正本各一份，并按“投标邀请”中规定的数量准备报价文件、资格审查文件和商务技术文件的副本。所有递交的</w:t>
      </w:r>
      <w:r>
        <w:rPr>
          <w:rFonts w:hint="eastAsia" w:hAnsi="宋体"/>
          <w:szCs w:val="21"/>
        </w:rPr>
        <w:t>文件封面上应标明“正本”、“副本”以及项目名称、项目编号、投标人名称。若正本和副本不符，以正本为准，副本可以采用正本的</w:t>
      </w:r>
      <w:r>
        <w:rPr>
          <w:rFonts w:hint="eastAsia" w:hAnsi="宋体"/>
        </w:rPr>
        <w:t>复印件。</w:t>
      </w:r>
    </w:p>
    <w:p>
      <w:pPr>
        <w:pStyle w:val="17"/>
        <w:spacing w:line="440" w:lineRule="exact"/>
        <w:rPr>
          <w:rFonts w:hAnsi="宋体"/>
          <w:bCs/>
        </w:rPr>
      </w:pPr>
      <w:r>
        <w:rPr>
          <w:rFonts w:hint="eastAsia" w:hAnsi="宋体"/>
          <w:bCs/>
        </w:rPr>
        <w:t>20.   投标保证金</w:t>
      </w:r>
    </w:p>
    <w:p>
      <w:pPr>
        <w:pStyle w:val="17"/>
        <w:tabs>
          <w:tab w:val="left" w:pos="710"/>
        </w:tabs>
        <w:spacing w:line="440" w:lineRule="exact"/>
        <w:ind w:left="630" w:hanging="630" w:hangingChars="300"/>
        <w:rPr>
          <w:rFonts w:hAnsi="宋体"/>
        </w:rPr>
      </w:pPr>
      <w:r>
        <w:rPr>
          <w:rFonts w:hint="eastAsia" w:hAnsi="宋体"/>
        </w:rPr>
        <w:t>20.1  投标保证金为人民币。投标人应</w:t>
      </w:r>
      <w:r>
        <w:rPr>
          <w:rFonts w:hint="eastAsia" w:hAnsi="宋体"/>
          <w:b/>
        </w:rPr>
        <w:t>在提交投标文件递交截止时间前一工作日</w:t>
      </w:r>
      <w:r>
        <w:rPr>
          <w:rFonts w:hint="eastAsia" w:hAnsi="宋体"/>
        </w:rPr>
        <w:t>按“投标邀请”规定的金额交至连云港市政府采购中心账户上。本次采购项目不接受现金、银行保函等形式的投标保证金。</w:t>
      </w:r>
    </w:p>
    <w:p>
      <w:pPr>
        <w:pStyle w:val="17"/>
        <w:spacing w:line="440" w:lineRule="exact"/>
        <w:ind w:left="630" w:hanging="630" w:hangingChars="300"/>
        <w:rPr>
          <w:rFonts w:hAnsi="宋体"/>
        </w:rPr>
      </w:pPr>
      <w:r>
        <w:rPr>
          <w:rFonts w:hint="eastAsia" w:hAnsi="宋体"/>
        </w:rPr>
        <w:t>20.2  开标时投标人需出示连云港市政府采购中心开具的投标保证金到户证明。</w:t>
      </w:r>
    </w:p>
    <w:p>
      <w:pPr>
        <w:pStyle w:val="17"/>
        <w:spacing w:line="440" w:lineRule="exact"/>
        <w:ind w:left="630" w:hanging="630" w:hangingChars="300"/>
        <w:rPr>
          <w:rFonts w:hAnsi="宋体"/>
        </w:rPr>
      </w:pPr>
      <w:r>
        <w:rPr>
          <w:rFonts w:hint="eastAsia" w:hAnsi="宋体"/>
        </w:rPr>
        <w:t>20.3  交款方式：转账、网银或者电汇。交现金的投标人应直接将投标保证金存入连云港市政府采购中心的账户上，“收款单位”一栏填连云港市政府采购中心的名称（只以转账或电汇方式退款）。</w:t>
      </w:r>
    </w:p>
    <w:p>
      <w:pPr>
        <w:pStyle w:val="17"/>
        <w:spacing w:line="440" w:lineRule="exact"/>
        <w:ind w:left="630" w:hanging="630" w:hangingChars="300"/>
        <w:rPr>
          <w:rFonts w:hAnsi="宋体"/>
        </w:rPr>
      </w:pPr>
      <w:r>
        <w:rPr>
          <w:rFonts w:hint="eastAsia" w:hAnsi="宋体"/>
        </w:rPr>
        <w:t>20.4  办理投标保证金手续时，请注明项目编号。</w:t>
      </w:r>
    </w:p>
    <w:p>
      <w:pPr>
        <w:pStyle w:val="17"/>
        <w:spacing w:line="440" w:lineRule="exact"/>
        <w:ind w:left="630" w:hanging="630" w:hangingChars="300"/>
        <w:rPr>
          <w:rFonts w:hAnsi="宋体"/>
        </w:rPr>
      </w:pPr>
      <w:r>
        <w:rPr>
          <w:rFonts w:hint="eastAsia" w:hAnsi="宋体"/>
        </w:rPr>
        <w:t>20.5  未中标供应商的投标保证金，将在中标通知书发出后五个工作日内由连云港市政府采购中心无息退还。中标供应商的投标保证金自合同签订之日后五个工作日内由连云港市政府采购中心无息退还。</w:t>
      </w:r>
    </w:p>
    <w:p>
      <w:pPr>
        <w:pStyle w:val="17"/>
        <w:spacing w:line="440" w:lineRule="exact"/>
        <w:ind w:left="630" w:hanging="630" w:hangingChars="300"/>
        <w:rPr>
          <w:rFonts w:hAnsi="宋体"/>
        </w:rPr>
      </w:pPr>
      <w:r>
        <w:rPr>
          <w:rFonts w:hint="eastAsia" w:hAnsi="宋体"/>
        </w:rPr>
        <w:t>20.6  涉及质疑和投诉的供应商，在质疑和投诉调查处理结束前其投标保证金暂不退还。</w:t>
      </w:r>
    </w:p>
    <w:p>
      <w:pPr>
        <w:pStyle w:val="17"/>
        <w:spacing w:line="440" w:lineRule="exact"/>
        <w:ind w:left="630" w:hanging="630" w:hangingChars="300"/>
        <w:rPr>
          <w:rFonts w:hAnsi="宋体"/>
        </w:rPr>
      </w:pPr>
      <w:r>
        <w:rPr>
          <w:rFonts w:hint="eastAsia" w:hAnsi="宋体"/>
        </w:rPr>
        <w:t>20.7  下列情况发生时，投标保证金将由连云港市政府采购中心全部扣除：</w:t>
      </w:r>
    </w:p>
    <w:p>
      <w:pPr>
        <w:pStyle w:val="17"/>
        <w:spacing w:line="440" w:lineRule="exact"/>
        <w:ind w:left="630" w:leftChars="258" w:hanging="88" w:hangingChars="42"/>
        <w:rPr>
          <w:rFonts w:hAnsi="宋体"/>
        </w:rPr>
      </w:pPr>
      <w:r>
        <w:rPr>
          <w:rFonts w:hint="eastAsia" w:hAnsi="宋体"/>
        </w:rPr>
        <w:t>（1）投标人在开标后要求撤回投标的；</w:t>
      </w:r>
    </w:p>
    <w:p>
      <w:pPr>
        <w:pStyle w:val="17"/>
        <w:spacing w:line="440" w:lineRule="exact"/>
        <w:ind w:left="630" w:leftChars="258" w:hanging="88" w:hangingChars="42"/>
        <w:rPr>
          <w:rFonts w:hAnsi="宋体"/>
        </w:rPr>
      </w:pPr>
      <w:r>
        <w:rPr>
          <w:rFonts w:hint="eastAsia" w:hAnsi="宋体"/>
        </w:rPr>
        <w:t>（2）中标人未按规定的时间、地点与采购人签订合同的；</w:t>
      </w:r>
    </w:p>
    <w:p>
      <w:pPr>
        <w:pStyle w:val="17"/>
        <w:spacing w:line="440" w:lineRule="exact"/>
        <w:ind w:left="630" w:leftChars="258" w:hanging="88" w:hangingChars="42"/>
        <w:rPr>
          <w:rFonts w:hAnsi="宋体"/>
        </w:rPr>
      </w:pPr>
      <w:r>
        <w:rPr>
          <w:rFonts w:hint="eastAsia" w:hAnsi="宋体"/>
        </w:rPr>
        <w:t>（3）法律法规规定的其他情形。</w:t>
      </w:r>
    </w:p>
    <w:p>
      <w:pPr>
        <w:pStyle w:val="17"/>
        <w:spacing w:line="440" w:lineRule="exact"/>
        <w:rPr>
          <w:rFonts w:hAnsi="宋体"/>
          <w:b/>
          <w:bCs/>
        </w:rPr>
      </w:pPr>
      <w:r>
        <w:rPr>
          <w:rFonts w:hint="eastAsia" w:hAnsi="宋体"/>
          <w:b/>
          <w:bCs/>
        </w:rPr>
        <w:t xml:space="preserve">       </w:t>
      </w:r>
    </w:p>
    <w:p>
      <w:pPr>
        <w:pStyle w:val="26"/>
        <w:jc w:val="left"/>
        <w:rPr>
          <w:sz w:val="24"/>
          <w:szCs w:val="24"/>
        </w:rPr>
      </w:pPr>
      <w:r>
        <w:rPr>
          <w:rFonts w:hint="eastAsia"/>
          <w:sz w:val="24"/>
          <w:szCs w:val="24"/>
        </w:rPr>
        <w:t>四、投标文件的提交</w:t>
      </w:r>
    </w:p>
    <w:p>
      <w:pPr>
        <w:pStyle w:val="17"/>
        <w:spacing w:line="440" w:lineRule="exact"/>
        <w:rPr>
          <w:rFonts w:hAnsi="宋体"/>
          <w:bCs/>
        </w:rPr>
      </w:pPr>
      <w:r>
        <w:rPr>
          <w:rFonts w:hint="eastAsia" w:hAnsi="宋体"/>
          <w:bCs/>
        </w:rPr>
        <w:t>21.   投标文件的密封与标记</w:t>
      </w:r>
    </w:p>
    <w:p>
      <w:pPr>
        <w:pStyle w:val="17"/>
        <w:spacing w:line="440" w:lineRule="exact"/>
        <w:ind w:left="630" w:hanging="630" w:hangingChars="300"/>
        <w:rPr>
          <w:rFonts w:hAnsi="宋体"/>
          <w:b/>
          <w:bCs/>
          <w:u w:val="single"/>
        </w:rPr>
      </w:pPr>
      <w:r>
        <w:rPr>
          <w:rFonts w:hint="eastAsia" w:hAnsi="宋体"/>
        </w:rPr>
        <w:t>21.1  投标人应按“投标邀请”中规定的正本和副本的数量提交投标文件。投标</w:t>
      </w:r>
      <w:r>
        <w:rPr>
          <w:rFonts w:hint="eastAsia" w:hAnsi="宋体"/>
          <w:szCs w:val="21"/>
        </w:rPr>
        <w:t>文件封面上应标明“正本”或“副本”。</w:t>
      </w:r>
    </w:p>
    <w:p>
      <w:pPr>
        <w:pStyle w:val="17"/>
        <w:spacing w:line="440" w:lineRule="exact"/>
        <w:ind w:left="630" w:hanging="630" w:hangingChars="300"/>
        <w:rPr>
          <w:rFonts w:hAnsi="宋体"/>
        </w:rPr>
      </w:pPr>
      <w:r>
        <w:rPr>
          <w:rFonts w:hint="eastAsia" w:hAnsi="宋体"/>
        </w:rPr>
        <w:t>21.2  投标人应将投标正、副本文件装入投标文件袋中加以密封，并签字或盖章（公章、法定代表人或其委托集采人的签字或盖章均可），</w:t>
      </w:r>
      <w:r>
        <w:rPr>
          <w:rFonts w:hint="eastAsia" w:hAnsi="宋体"/>
          <w:b/>
        </w:rPr>
        <w:t>否则不予接收</w:t>
      </w:r>
      <w:r>
        <w:rPr>
          <w:rFonts w:hint="eastAsia" w:hAnsi="宋体"/>
        </w:rPr>
        <w:t>。</w:t>
      </w:r>
    </w:p>
    <w:p>
      <w:pPr>
        <w:pStyle w:val="17"/>
        <w:spacing w:line="440" w:lineRule="exact"/>
        <w:ind w:left="630" w:hanging="630" w:hangingChars="300"/>
        <w:rPr>
          <w:rFonts w:hAnsi="宋体"/>
          <w:shd w:val="pct10" w:color="auto" w:fill="FFFFFF"/>
        </w:rPr>
      </w:pPr>
      <w:r>
        <w:rPr>
          <w:rFonts w:hint="eastAsia" w:hAnsi="宋体"/>
        </w:rPr>
        <w:t>21.3  投标文件袋的封面应注明项目名称、项目编号、投标人名称、法定代表人姓名，委托集采投标的还应注明委托集采人姓名，</w:t>
      </w:r>
      <w:r>
        <w:rPr>
          <w:rFonts w:hint="eastAsia" w:hAnsi="宋体"/>
          <w:b/>
        </w:rPr>
        <w:t>否则不予接收</w:t>
      </w:r>
      <w:r>
        <w:rPr>
          <w:rFonts w:hint="eastAsia" w:hAnsi="宋体"/>
        </w:rPr>
        <w:t>。</w:t>
      </w:r>
    </w:p>
    <w:p>
      <w:pPr>
        <w:pStyle w:val="17"/>
        <w:spacing w:line="440" w:lineRule="exact"/>
        <w:rPr>
          <w:rFonts w:hAnsi="宋体"/>
          <w:bCs/>
        </w:rPr>
      </w:pPr>
      <w:r>
        <w:rPr>
          <w:rFonts w:hint="eastAsia" w:hAnsi="宋体"/>
          <w:bCs/>
        </w:rPr>
        <w:t>22.   提交投标文件及样品截止时间和地点</w:t>
      </w:r>
    </w:p>
    <w:p>
      <w:pPr>
        <w:pStyle w:val="17"/>
        <w:spacing w:line="440" w:lineRule="exact"/>
        <w:ind w:left="630" w:hanging="630" w:hangingChars="300"/>
        <w:rPr>
          <w:rFonts w:hAnsi="宋体"/>
        </w:rPr>
      </w:pPr>
      <w:r>
        <w:rPr>
          <w:rFonts w:hint="eastAsia" w:hAnsi="宋体"/>
        </w:rPr>
        <w:t>22.1  投标文件的提交不得迟于“投标邀请”规定的提交投标文件截止时间，</w:t>
      </w:r>
      <w:r>
        <w:rPr>
          <w:rFonts w:hint="eastAsia" w:hAnsi="宋体"/>
          <w:b/>
          <w:bCs/>
        </w:rPr>
        <w:t>否则不予接收</w:t>
      </w:r>
      <w:r>
        <w:rPr>
          <w:rFonts w:hint="eastAsia" w:hAnsi="宋体"/>
        </w:rPr>
        <w:t>。</w:t>
      </w:r>
    </w:p>
    <w:p>
      <w:pPr>
        <w:pStyle w:val="17"/>
        <w:spacing w:line="440" w:lineRule="exact"/>
        <w:ind w:left="630" w:hanging="630" w:hangingChars="300"/>
        <w:rPr>
          <w:rFonts w:hAnsi="宋体"/>
        </w:rPr>
      </w:pPr>
      <w:r>
        <w:rPr>
          <w:rFonts w:hint="eastAsia" w:hAnsi="宋体"/>
        </w:rPr>
        <w:t>22.2  投标人必须在规定时间内将投标文件提交到“投标邀请”规定的地点，</w:t>
      </w:r>
      <w:r>
        <w:rPr>
          <w:rFonts w:hint="eastAsia" w:hAnsi="宋体"/>
          <w:b/>
          <w:bCs/>
        </w:rPr>
        <w:t>否则不予接收</w:t>
      </w:r>
      <w:r>
        <w:rPr>
          <w:rFonts w:hint="eastAsia" w:hAnsi="宋体"/>
        </w:rPr>
        <w:t>。</w:t>
      </w:r>
    </w:p>
    <w:p>
      <w:pPr>
        <w:pStyle w:val="17"/>
        <w:spacing w:line="440" w:lineRule="exact"/>
        <w:ind w:left="630" w:hanging="630" w:hangingChars="300"/>
        <w:rPr>
          <w:rFonts w:hAnsi="宋体"/>
        </w:rPr>
      </w:pPr>
      <w:r>
        <w:rPr>
          <w:rFonts w:hint="eastAsia" w:hAnsi="宋体"/>
        </w:rPr>
        <w:t>22.3  采购项目需要提交样品的，投标人应当于采购文件规定的样品接收截止</w:t>
      </w:r>
      <w:r>
        <w:rPr>
          <w:rFonts w:hint="eastAsia" w:hAnsi="宋体"/>
          <w:bCs/>
        </w:rPr>
        <w:t>时间前将样品送到指定地点并登记完毕，</w:t>
      </w:r>
      <w:r>
        <w:rPr>
          <w:rFonts w:hint="eastAsia" w:hAnsi="宋体"/>
          <w:b/>
          <w:bCs/>
        </w:rPr>
        <w:t>否则不予接收</w:t>
      </w:r>
      <w:r>
        <w:rPr>
          <w:rFonts w:hint="eastAsia" w:hAnsi="宋体"/>
        </w:rPr>
        <w:t>。</w:t>
      </w:r>
    </w:p>
    <w:p>
      <w:pPr>
        <w:pStyle w:val="17"/>
        <w:spacing w:line="440" w:lineRule="exact"/>
        <w:ind w:left="630" w:hanging="630" w:hangingChars="300"/>
        <w:rPr>
          <w:rFonts w:hAnsi="宋体"/>
        </w:rPr>
      </w:pPr>
      <w:r>
        <w:rPr>
          <w:rFonts w:hint="eastAsia" w:hAnsi="宋体"/>
        </w:rPr>
        <w:t xml:space="preserve">22.4  </w:t>
      </w:r>
      <w:r>
        <w:rPr>
          <w:rFonts w:hint="eastAsia" w:hAnsi="宋体"/>
          <w:bCs/>
        </w:rPr>
        <w:t>中标供应商的样品由采购人保管，做为验收的依据，验收后由采购人退回。未中标供应商的样品，供应商应在中标结果公布后两个工作日内领回，否则按无主物品处理。</w:t>
      </w:r>
    </w:p>
    <w:p>
      <w:pPr>
        <w:pStyle w:val="17"/>
        <w:spacing w:line="440" w:lineRule="exact"/>
        <w:jc w:val="center"/>
        <w:rPr>
          <w:rFonts w:hAnsi="宋体"/>
        </w:rPr>
      </w:pPr>
    </w:p>
    <w:p>
      <w:pPr>
        <w:pStyle w:val="26"/>
        <w:jc w:val="left"/>
        <w:rPr>
          <w:sz w:val="24"/>
          <w:szCs w:val="24"/>
        </w:rPr>
      </w:pPr>
      <w:r>
        <w:rPr>
          <w:rFonts w:hint="eastAsia"/>
          <w:sz w:val="24"/>
          <w:szCs w:val="24"/>
        </w:rPr>
        <w:t>五、开标与评标</w:t>
      </w:r>
    </w:p>
    <w:p>
      <w:pPr>
        <w:pStyle w:val="17"/>
        <w:spacing w:line="440" w:lineRule="exact"/>
        <w:rPr>
          <w:rFonts w:hAnsi="宋体"/>
          <w:bCs/>
        </w:rPr>
      </w:pPr>
      <w:r>
        <w:rPr>
          <w:rFonts w:hint="eastAsia" w:hAnsi="宋体"/>
          <w:bCs/>
        </w:rPr>
        <w:t>23.   开标</w:t>
      </w:r>
    </w:p>
    <w:p>
      <w:pPr>
        <w:pStyle w:val="17"/>
        <w:spacing w:line="440" w:lineRule="exact"/>
        <w:ind w:left="630" w:hanging="630" w:hangingChars="300"/>
        <w:rPr>
          <w:rFonts w:hAnsi="宋体"/>
        </w:rPr>
      </w:pPr>
      <w:r>
        <w:rPr>
          <w:rFonts w:hint="eastAsia" w:hAnsi="宋体"/>
        </w:rPr>
        <w:t>23.1  连云港市政府采购中心将在“投标邀请”规定的时间和地点进行开标，投标人的法定代表人或其委托集采人应参加开标会并签到，</w:t>
      </w:r>
      <w:r>
        <w:rPr>
          <w:rFonts w:hint="eastAsia" w:hAnsi="宋体"/>
          <w:b/>
          <w:bCs/>
        </w:rPr>
        <w:t>如未按时签到或者未参加开标会</w:t>
      </w:r>
      <w:r>
        <w:rPr>
          <w:rFonts w:hint="eastAsia" w:hAnsi="宋体"/>
          <w:b/>
          <w:bCs/>
          <w:sz w:val="28"/>
          <w:szCs w:val="28"/>
        </w:rPr>
        <w:t>，</w:t>
      </w:r>
      <w:r>
        <w:rPr>
          <w:rFonts w:hint="eastAsia" w:hAnsi="宋体"/>
          <w:b/>
          <w:bCs/>
        </w:rPr>
        <w:t>由此产生的后果由投标人自行负责</w:t>
      </w:r>
      <w:r>
        <w:rPr>
          <w:rFonts w:hint="eastAsia" w:hAnsi="宋体"/>
        </w:rPr>
        <w:t>。</w:t>
      </w:r>
    </w:p>
    <w:p>
      <w:pPr>
        <w:pStyle w:val="17"/>
        <w:spacing w:line="440" w:lineRule="exact"/>
        <w:rPr>
          <w:rFonts w:hAnsi="宋体"/>
        </w:rPr>
      </w:pPr>
      <w:r>
        <w:rPr>
          <w:rFonts w:hint="eastAsia" w:hAnsi="宋体"/>
        </w:rPr>
        <w:t>23.2  开标程序：</w:t>
      </w:r>
    </w:p>
    <w:p>
      <w:pPr>
        <w:pStyle w:val="17"/>
        <w:spacing w:line="440" w:lineRule="exact"/>
        <w:ind w:firstLine="630"/>
        <w:rPr>
          <w:rFonts w:hAnsi="宋体"/>
        </w:rPr>
      </w:pPr>
      <w:r>
        <w:rPr>
          <w:rFonts w:hint="eastAsia" w:hAnsi="宋体"/>
        </w:rPr>
        <w:t>(1)开标会由连云港市政府采购中心主持，主持人宣布开标会议开始；</w:t>
      </w:r>
    </w:p>
    <w:p>
      <w:pPr>
        <w:pStyle w:val="17"/>
        <w:spacing w:line="440" w:lineRule="exact"/>
        <w:ind w:firstLine="630"/>
        <w:rPr>
          <w:rFonts w:hAnsi="宋体"/>
        </w:rPr>
      </w:pPr>
      <w:r>
        <w:rPr>
          <w:rFonts w:hint="eastAsia" w:hAnsi="宋体"/>
        </w:rPr>
        <w:t>(2)介绍参加开标会的人员名单；</w:t>
      </w:r>
    </w:p>
    <w:p>
      <w:pPr>
        <w:pStyle w:val="17"/>
        <w:spacing w:line="440" w:lineRule="exact"/>
        <w:ind w:firstLine="630"/>
        <w:rPr>
          <w:rFonts w:hAnsi="宋体"/>
          <w:u w:val="single"/>
        </w:rPr>
      </w:pPr>
      <w:r>
        <w:rPr>
          <w:rFonts w:hint="eastAsia" w:hAnsi="宋体"/>
        </w:rPr>
        <w:t>(3)宣布唱标、监标（由第三方监督单位担任）和记标人员名单；</w:t>
      </w:r>
    </w:p>
    <w:p>
      <w:pPr>
        <w:pStyle w:val="17"/>
        <w:spacing w:line="440" w:lineRule="exact"/>
        <w:ind w:firstLine="630"/>
        <w:rPr>
          <w:rFonts w:hAnsi="宋体"/>
        </w:rPr>
      </w:pPr>
      <w:r>
        <w:rPr>
          <w:rFonts w:hint="eastAsia" w:hAnsi="宋体"/>
        </w:rPr>
        <w:t>(4)投标人代表检验投标文件密封和标记的完整性，并签字确认；</w:t>
      </w:r>
    </w:p>
    <w:p>
      <w:pPr>
        <w:pStyle w:val="17"/>
        <w:spacing w:line="440" w:lineRule="exact"/>
        <w:ind w:left="630" w:leftChars="300"/>
        <w:rPr>
          <w:rFonts w:hAnsi="宋体"/>
        </w:rPr>
      </w:pPr>
      <w:r>
        <w:rPr>
          <w:rFonts w:hint="eastAsia" w:hAnsi="宋体"/>
        </w:rPr>
        <w:t>(5)唱标及勘误：唱标时将启封投标文件，由唱标人宣读投标人在其投标文件中的投标人名称、投标报价和交货期等以及连云港市政府采购中心认为有必要宣读的其他内容,并收取投标人的投标保证金缴纳证明。唱标顺序按各投标人提交投标文件时间的先后顺序进行；</w:t>
      </w:r>
    </w:p>
    <w:p>
      <w:pPr>
        <w:pStyle w:val="17"/>
        <w:spacing w:line="440" w:lineRule="exact"/>
        <w:ind w:left="630" w:leftChars="300"/>
        <w:rPr>
          <w:rFonts w:hAnsi="宋体"/>
        </w:rPr>
      </w:pPr>
      <w:r>
        <w:rPr>
          <w:rFonts w:hint="eastAsia" w:hAnsi="宋体"/>
        </w:rPr>
        <w:t>(6)宣布评标期间的有关事项；</w:t>
      </w:r>
    </w:p>
    <w:p>
      <w:pPr>
        <w:pStyle w:val="17"/>
        <w:spacing w:line="440" w:lineRule="exact"/>
        <w:ind w:firstLine="630"/>
        <w:rPr>
          <w:rFonts w:hAnsi="宋体"/>
        </w:rPr>
      </w:pPr>
      <w:r>
        <w:rPr>
          <w:rFonts w:hint="eastAsia" w:hAnsi="宋体"/>
        </w:rPr>
        <w:t>(7)开标会议结束。</w:t>
      </w:r>
    </w:p>
    <w:p>
      <w:pPr>
        <w:pStyle w:val="17"/>
        <w:spacing w:line="440" w:lineRule="exact"/>
        <w:ind w:left="630" w:hanging="630" w:hangingChars="300"/>
        <w:rPr>
          <w:rFonts w:hAnsi="宋体"/>
        </w:rPr>
      </w:pPr>
      <w:r>
        <w:rPr>
          <w:rFonts w:hint="eastAsia" w:hAnsi="宋体"/>
        </w:rPr>
        <w:t>23.3  连云港市政府采购中心将做开标记录（包括投标人名称、投标总报价、分标报价、交货期和投标保证金等）。</w:t>
      </w:r>
    </w:p>
    <w:p>
      <w:pPr>
        <w:pStyle w:val="17"/>
        <w:spacing w:line="440" w:lineRule="exact"/>
        <w:rPr>
          <w:rFonts w:hAnsi="宋体"/>
          <w:bCs/>
        </w:rPr>
      </w:pPr>
      <w:r>
        <w:rPr>
          <w:rFonts w:hint="eastAsia" w:hAnsi="宋体"/>
          <w:bCs/>
        </w:rPr>
        <w:t>24.  评标</w:t>
      </w:r>
    </w:p>
    <w:p>
      <w:pPr>
        <w:pStyle w:val="17"/>
        <w:spacing w:line="440" w:lineRule="exact"/>
        <w:ind w:left="630" w:hanging="630" w:hangingChars="300"/>
        <w:rPr>
          <w:rFonts w:hAnsi="宋体"/>
        </w:rPr>
      </w:pPr>
      <w:r>
        <w:rPr>
          <w:rFonts w:hint="eastAsia" w:hAnsi="宋体"/>
        </w:rPr>
        <w:t>24.1  成立评标委员会。评标委员会由采购人代表和评审专家组成。</w:t>
      </w:r>
    </w:p>
    <w:p>
      <w:pPr>
        <w:pStyle w:val="17"/>
        <w:spacing w:line="440" w:lineRule="exact"/>
        <w:ind w:left="630" w:hanging="630" w:hangingChars="300"/>
        <w:rPr>
          <w:rFonts w:hAnsi="宋体"/>
        </w:rPr>
      </w:pPr>
      <w:r>
        <w:rPr>
          <w:rFonts w:hint="eastAsia" w:hAnsi="宋体"/>
        </w:rPr>
        <w:t>24.2  评标的方式。本采购项目采用不公开方式评标，评标的依据为招标文件和投标文件。</w:t>
      </w:r>
    </w:p>
    <w:p>
      <w:pPr>
        <w:pStyle w:val="17"/>
        <w:spacing w:line="440" w:lineRule="exact"/>
        <w:ind w:left="630" w:hanging="630" w:hangingChars="300"/>
        <w:rPr>
          <w:rFonts w:hAnsi="宋体"/>
        </w:rPr>
      </w:pPr>
      <w:r>
        <w:rPr>
          <w:rFonts w:hint="eastAsia" w:hAnsi="宋体"/>
        </w:rPr>
        <w:t xml:space="preserve">24.3  </w:t>
      </w:r>
      <w:r>
        <w:rPr>
          <w:rFonts w:hint="eastAsia" w:hAnsi="宋体"/>
          <w:bCs/>
        </w:rPr>
        <w:t>评标工作程序</w:t>
      </w:r>
    </w:p>
    <w:p>
      <w:pPr>
        <w:pStyle w:val="17"/>
        <w:spacing w:line="440" w:lineRule="exact"/>
        <w:ind w:left="630" w:leftChars="300"/>
        <w:rPr>
          <w:rFonts w:hAnsi="宋体"/>
        </w:rPr>
      </w:pPr>
      <w:r>
        <w:rPr>
          <w:rFonts w:hint="eastAsia" w:hAnsi="宋体"/>
        </w:rPr>
        <w:t>(1)公开招标采购项目开标结束后，采购人应当依法对投标人的资格进行审查。评标委员会负责具体评标事务，并独立履行法定职责。</w:t>
      </w:r>
      <w:r>
        <w:rPr>
          <w:rFonts w:hint="eastAsia" w:hAnsi="宋体"/>
          <w:b/>
          <w:bCs/>
        </w:rPr>
        <w:t>投标人</w:t>
      </w:r>
      <w:r>
        <w:rPr>
          <w:rFonts w:hint="eastAsia" w:hAnsi="宋体"/>
          <w:b/>
          <w:szCs w:val="21"/>
        </w:rPr>
        <w:t>报价超过采购预算且采购人不能接受的、</w:t>
      </w:r>
      <w:r>
        <w:rPr>
          <w:rFonts w:hint="eastAsia" w:hAnsi="宋体"/>
          <w:b/>
          <w:bCs/>
        </w:rPr>
        <w:t>投标文件有效期不符合采购文件要求的或投标文件附有采购人不能接受的条件的，该投标人投标无效</w:t>
      </w:r>
      <w:r>
        <w:rPr>
          <w:rFonts w:hint="eastAsia" w:hAnsi="宋体"/>
        </w:rPr>
        <w:t>。</w:t>
      </w:r>
    </w:p>
    <w:p>
      <w:pPr>
        <w:pStyle w:val="17"/>
        <w:spacing w:line="440" w:lineRule="exact"/>
        <w:ind w:left="630" w:leftChars="300"/>
        <w:rPr>
          <w:rFonts w:hAnsi="宋体"/>
        </w:rPr>
      </w:pPr>
      <w:r>
        <w:rPr>
          <w:rFonts w:hint="eastAsia" w:hAnsi="宋体"/>
        </w:rPr>
        <w:t xml:space="preserve"> (2)澄清有关问题。对投标文件中含义不明确、同类问题表述不一致或者有明显文字和计算错误的内容，评标委员会应当以书面形式（应当由评标委员会专家签字）要求投标人作出必要的澄清、说明或者补正。投标人的澄清、说明或者补正应当采用书面形式，由其</w:t>
      </w:r>
      <w:r>
        <w:rPr>
          <w:rFonts w:hint="eastAsia" w:hAnsi="宋体"/>
          <w:b/>
          <w:bCs/>
        </w:rPr>
        <w:t>法定代表人</w:t>
      </w:r>
      <w:r>
        <w:rPr>
          <w:rFonts w:hint="eastAsia" w:hAnsi="宋体"/>
          <w:b/>
        </w:rPr>
        <w:t>或委托代理人签字确认</w:t>
      </w:r>
      <w:r>
        <w:rPr>
          <w:rFonts w:hint="eastAsia" w:hAnsi="宋体"/>
        </w:rPr>
        <w:t>，并不得超出投标文件的范围或者改变投标文件的实质性内容。投标人的澄清文件是投标文件的组成部分。</w:t>
      </w:r>
    </w:p>
    <w:p>
      <w:pPr>
        <w:pStyle w:val="17"/>
        <w:spacing w:line="440" w:lineRule="exact"/>
        <w:ind w:left="630" w:leftChars="300"/>
        <w:rPr>
          <w:rFonts w:hAnsi="宋体"/>
        </w:rPr>
      </w:pPr>
      <w:r>
        <w:rPr>
          <w:rFonts w:hint="eastAsia" w:hAnsi="宋体"/>
        </w:rPr>
        <w:t>(3)比较与评价。对商务、技术及其他内容的比较和评价结束前，评标委员会不能接触、比较和评价投标报价。</w:t>
      </w:r>
    </w:p>
    <w:p>
      <w:pPr>
        <w:pStyle w:val="17"/>
        <w:spacing w:line="440" w:lineRule="exact"/>
        <w:ind w:left="630" w:leftChars="300"/>
        <w:rPr>
          <w:rFonts w:hAnsi="宋体"/>
        </w:rPr>
      </w:pPr>
      <w:r>
        <w:rPr>
          <w:rFonts w:hint="eastAsia" w:hAnsi="宋体"/>
        </w:rPr>
        <w:t>(4)推荐中标供应商名单。</w:t>
      </w:r>
    </w:p>
    <w:p>
      <w:pPr>
        <w:pStyle w:val="17"/>
        <w:spacing w:line="440" w:lineRule="exact"/>
        <w:ind w:left="630" w:leftChars="300"/>
        <w:rPr>
          <w:rFonts w:hAnsi="宋体"/>
        </w:rPr>
      </w:pPr>
      <w:r>
        <w:rPr>
          <w:rFonts w:hint="eastAsia" w:hAnsi="宋体"/>
        </w:rPr>
        <w:t>(5)</w:t>
      </w:r>
      <w:r>
        <w:rPr>
          <w:rFonts w:hAnsi="宋体"/>
        </w:rPr>
        <w:t>编写评标报告。</w:t>
      </w:r>
    </w:p>
    <w:p>
      <w:pPr>
        <w:pStyle w:val="17"/>
        <w:spacing w:line="440" w:lineRule="exact"/>
        <w:ind w:left="630" w:hanging="630" w:hangingChars="300"/>
        <w:rPr>
          <w:rFonts w:hAnsi="宋体"/>
        </w:rPr>
      </w:pPr>
      <w:r>
        <w:rPr>
          <w:rFonts w:hint="eastAsia" w:hAnsi="宋体"/>
        </w:rPr>
        <w:t>24.4  评标过程的保密。开标后，直到授予投标人合同止，凡是属于审查、澄清、评审和比较的有关资料以及授标建议等均不得向投标人或其他无关的人员透露。投标人在评标过程中，所进行的力图影响评标结果的不公正活动，可能导致其投标被拒绝。</w:t>
      </w:r>
    </w:p>
    <w:p>
      <w:pPr>
        <w:pStyle w:val="17"/>
        <w:spacing w:line="440" w:lineRule="exact"/>
        <w:ind w:left="630" w:hanging="630" w:hangingChars="300"/>
        <w:rPr>
          <w:rFonts w:hAnsi="宋体"/>
        </w:rPr>
      </w:pPr>
      <w:r>
        <w:rPr>
          <w:rFonts w:hint="eastAsia" w:hAnsi="宋体"/>
        </w:rPr>
        <w:t>25.   投标文件如果出现计算或表达上的错误，修正错误的原则如下：</w:t>
      </w:r>
    </w:p>
    <w:p>
      <w:pPr>
        <w:pStyle w:val="17"/>
        <w:spacing w:line="440" w:lineRule="exact"/>
        <w:ind w:left="630" w:hanging="630" w:hangingChars="300"/>
        <w:rPr>
          <w:rFonts w:hAnsi="宋体"/>
        </w:rPr>
      </w:pPr>
      <w:r>
        <w:rPr>
          <w:rFonts w:hint="eastAsia" w:hAnsi="宋体"/>
        </w:rPr>
        <w:t>　　（一）投标文件中开标一览表（报价表）内容与投标文件中相应内容不一致的，以开标一览表（报价表）为准；</w:t>
      </w:r>
    </w:p>
    <w:p>
      <w:pPr>
        <w:pStyle w:val="17"/>
        <w:spacing w:line="440" w:lineRule="exact"/>
        <w:ind w:left="630" w:hanging="630" w:hangingChars="300"/>
        <w:rPr>
          <w:rFonts w:hAnsi="宋体"/>
        </w:rPr>
      </w:pPr>
      <w:r>
        <w:rPr>
          <w:rFonts w:hint="eastAsia" w:hAnsi="宋体"/>
        </w:rPr>
        <w:t>　　（二）大写金额和小写金额不一致的，以大写金额为准；</w:t>
      </w:r>
    </w:p>
    <w:p>
      <w:pPr>
        <w:pStyle w:val="17"/>
        <w:spacing w:line="440" w:lineRule="exact"/>
        <w:ind w:left="630" w:hanging="630" w:hangingChars="300"/>
        <w:rPr>
          <w:rFonts w:hAnsi="宋体"/>
        </w:rPr>
      </w:pPr>
      <w:r>
        <w:rPr>
          <w:rFonts w:hint="eastAsia" w:hAnsi="宋体"/>
        </w:rPr>
        <w:t>　　（三）单价金额小数点或者百分比有明显错位的，以开标一览表的总价为准，并修改单价；</w:t>
      </w:r>
    </w:p>
    <w:p>
      <w:pPr>
        <w:pStyle w:val="17"/>
        <w:spacing w:line="440" w:lineRule="exact"/>
        <w:ind w:left="630" w:hanging="630" w:hangingChars="300"/>
        <w:rPr>
          <w:rFonts w:hAnsi="宋体"/>
        </w:rPr>
      </w:pPr>
      <w:r>
        <w:rPr>
          <w:rFonts w:hint="eastAsia" w:hAnsi="宋体"/>
        </w:rPr>
        <w:t>　　（四）总价金额与按单价汇总金额不一致的，以单价金额计算结果为准。</w:t>
      </w:r>
    </w:p>
    <w:p>
      <w:pPr>
        <w:pStyle w:val="17"/>
        <w:spacing w:line="440" w:lineRule="exact"/>
        <w:rPr>
          <w:rFonts w:hAnsi="宋体"/>
        </w:rPr>
      </w:pPr>
      <w:r>
        <w:rPr>
          <w:rFonts w:hint="eastAsia" w:hAnsi="宋体"/>
        </w:rPr>
        <w:t>　修正后的报价经投标人确认后产生约束力，投标人不确认的，其投标无效。</w:t>
      </w:r>
    </w:p>
    <w:p>
      <w:pPr>
        <w:pStyle w:val="17"/>
        <w:spacing w:line="440" w:lineRule="exact"/>
        <w:rPr>
          <w:rFonts w:hAnsi="宋体"/>
        </w:rPr>
      </w:pPr>
      <w:r>
        <w:rPr>
          <w:rFonts w:hint="eastAsia" w:hAnsi="宋体"/>
          <w:bCs/>
          <w:spacing w:val="10"/>
          <w:szCs w:val="21"/>
        </w:rPr>
        <w:t>26．</w:t>
      </w:r>
      <w:r>
        <w:rPr>
          <w:rFonts w:hint="eastAsia" w:hAnsi="宋体"/>
        </w:rPr>
        <w:t xml:space="preserve"> </w:t>
      </w:r>
      <w:r>
        <w:rPr>
          <w:rFonts w:hint="eastAsia" w:hAnsi="宋体"/>
          <w:b/>
        </w:rPr>
        <w:t>在招标采购中，投标人有下列情况之一的，该投标人的投标无效：</w:t>
      </w:r>
    </w:p>
    <w:p>
      <w:pPr>
        <w:pStyle w:val="17"/>
        <w:spacing w:line="440" w:lineRule="exact"/>
        <w:ind w:firstLine="420" w:firstLineChars="200"/>
        <w:rPr>
          <w:rFonts w:hAnsi="宋体"/>
        </w:rPr>
      </w:pPr>
      <w:r>
        <w:rPr>
          <w:rFonts w:hint="eastAsia" w:hAnsi="宋体"/>
        </w:rPr>
        <w:t>（1）未按照招标文件的规定提交投标保证金的；</w:t>
      </w:r>
    </w:p>
    <w:p>
      <w:pPr>
        <w:pStyle w:val="17"/>
        <w:spacing w:line="440" w:lineRule="exact"/>
        <w:ind w:firstLine="420" w:firstLineChars="200"/>
        <w:rPr>
          <w:rFonts w:hAnsi="宋体"/>
        </w:rPr>
      </w:pPr>
      <w:r>
        <w:rPr>
          <w:rFonts w:hint="eastAsia" w:hAnsi="宋体"/>
        </w:rPr>
        <w:t>（2）投标文件未按招标文件要求装订成册并签署、盖章的；</w:t>
      </w:r>
    </w:p>
    <w:p>
      <w:pPr>
        <w:pStyle w:val="17"/>
        <w:spacing w:line="440" w:lineRule="exact"/>
        <w:ind w:firstLine="420" w:firstLineChars="200"/>
        <w:rPr>
          <w:rFonts w:hAnsi="宋体"/>
        </w:rPr>
      </w:pPr>
      <w:r>
        <w:rPr>
          <w:rFonts w:hint="eastAsia" w:hAnsi="宋体"/>
        </w:rPr>
        <w:t>（3）不具备招标文件中规定的资格要求的；</w:t>
      </w:r>
    </w:p>
    <w:p>
      <w:pPr>
        <w:pStyle w:val="17"/>
        <w:spacing w:line="440" w:lineRule="exact"/>
        <w:ind w:firstLine="420" w:firstLineChars="200"/>
        <w:rPr>
          <w:rFonts w:hAnsi="宋体"/>
        </w:rPr>
      </w:pPr>
      <w:r>
        <w:rPr>
          <w:rFonts w:hint="eastAsia" w:hAnsi="宋体"/>
        </w:rPr>
        <w:t>（4）报价超过招标文件中规定的预算金额或者最高限价的；</w:t>
      </w:r>
    </w:p>
    <w:p>
      <w:pPr>
        <w:pStyle w:val="17"/>
        <w:spacing w:line="440" w:lineRule="exact"/>
        <w:ind w:firstLine="420" w:firstLineChars="200"/>
        <w:rPr>
          <w:rFonts w:hAnsi="宋体"/>
        </w:rPr>
      </w:pPr>
      <w:r>
        <w:rPr>
          <w:rFonts w:hint="eastAsia" w:hAnsi="宋体"/>
        </w:rPr>
        <w:t>（5）投标文件含有采购人不能接受的附加条件的;</w:t>
      </w:r>
    </w:p>
    <w:p>
      <w:pPr>
        <w:pStyle w:val="17"/>
        <w:spacing w:line="440" w:lineRule="exact"/>
        <w:ind w:firstLine="420" w:firstLineChars="200"/>
        <w:rPr>
          <w:rFonts w:hAnsi="宋体"/>
        </w:rPr>
      </w:pPr>
      <w:r>
        <w:rPr>
          <w:rFonts w:hint="eastAsia" w:hAnsi="宋体"/>
        </w:rPr>
        <w:t>（6）法律、法规和招标文件规定的其他无效情形。</w:t>
      </w:r>
    </w:p>
    <w:p>
      <w:pPr>
        <w:pStyle w:val="17"/>
        <w:spacing w:line="440" w:lineRule="exact"/>
        <w:rPr>
          <w:rFonts w:hAnsi="宋体"/>
        </w:rPr>
      </w:pPr>
      <w:r>
        <w:rPr>
          <w:rFonts w:hint="eastAsia" w:hAnsi="宋体"/>
        </w:rPr>
        <w:t xml:space="preserve">27. </w:t>
      </w:r>
      <w:r>
        <w:rPr>
          <w:rFonts w:hAnsi="宋体"/>
        </w:rPr>
        <w:t xml:space="preserve"> </w:t>
      </w:r>
      <w:r>
        <w:rPr>
          <w:rFonts w:hint="eastAsia" w:hAnsi="宋体"/>
          <w:b/>
        </w:rPr>
        <w:t>在招标采购中，出现下列情形之一的，应予废标：</w:t>
      </w:r>
    </w:p>
    <w:p>
      <w:pPr>
        <w:pStyle w:val="17"/>
        <w:spacing w:line="440" w:lineRule="exact"/>
        <w:ind w:firstLine="420" w:firstLineChars="200"/>
        <w:rPr>
          <w:rFonts w:hAnsi="宋体"/>
        </w:rPr>
      </w:pPr>
      <w:r>
        <w:rPr>
          <w:rFonts w:hint="eastAsia" w:hAnsi="宋体"/>
        </w:rPr>
        <w:t>(1)符合专业条件的供应商或者对采购文件作实质响应的供应商不足3家的；</w:t>
      </w:r>
    </w:p>
    <w:p>
      <w:pPr>
        <w:pStyle w:val="17"/>
        <w:spacing w:line="440" w:lineRule="exact"/>
        <w:ind w:firstLine="420" w:firstLineChars="200"/>
        <w:rPr>
          <w:rFonts w:hAnsi="宋体"/>
        </w:rPr>
      </w:pPr>
      <w:r>
        <w:rPr>
          <w:rFonts w:hint="eastAsia" w:hAnsi="宋体"/>
        </w:rPr>
        <w:t>(2)出现影响采购公正的违法、违规行为的；</w:t>
      </w:r>
    </w:p>
    <w:p>
      <w:pPr>
        <w:pStyle w:val="17"/>
        <w:spacing w:line="440" w:lineRule="exact"/>
        <w:ind w:firstLine="420" w:firstLineChars="200"/>
        <w:rPr>
          <w:rFonts w:hAnsi="宋体"/>
        </w:rPr>
      </w:pPr>
      <w:r>
        <w:rPr>
          <w:rFonts w:hint="eastAsia" w:hAnsi="宋体"/>
        </w:rPr>
        <w:t>(3)投标人的报价均超过了采购预算，采购人不能支付的；</w:t>
      </w:r>
    </w:p>
    <w:p>
      <w:pPr>
        <w:pStyle w:val="17"/>
        <w:spacing w:line="440" w:lineRule="exact"/>
        <w:ind w:firstLine="420" w:firstLineChars="200"/>
        <w:rPr>
          <w:rFonts w:hAnsi="宋体"/>
        </w:rPr>
      </w:pPr>
      <w:r>
        <w:rPr>
          <w:rFonts w:hint="eastAsia" w:hAnsi="宋体"/>
        </w:rPr>
        <w:t>(4)因重大变故，采购任务取消的；</w:t>
      </w:r>
    </w:p>
    <w:p>
      <w:pPr>
        <w:pStyle w:val="17"/>
        <w:tabs>
          <w:tab w:val="left" w:pos="630"/>
        </w:tabs>
        <w:spacing w:line="440" w:lineRule="exact"/>
        <w:rPr>
          <w:rFonts w:hAnsi="宋体"/>
        </w:rPr>
      </w:pPr>
      <w:r>
        <w:rPr>
          <w:rFonts w:hint="eastAsia" w:hAnsi="宋体"/>
        </w:rPr>
        <w:t>28.　 评标原则和评标办法</w:t>
      </w:r>
    </w:p>
    <w:p>
      <w:pPr>
        <w:pStyle w:val="17"/>
        <w:spacing w:line="440" w:lineRule="exact"/>
        <w:ind w:left="540" w:hanging="539" w:hangingChars="257"/>
        <w:rPr>
          <w:rFonts w:hAnsi="宋体"/>
        </w:rPr>
      </w:pPr>
      <w:r>
        <w:rPr>
          <w:rFonts w:hint="eastAsia" w:hAnsi="宋体"/>
        </w:rPr>
        <w:t>28.1  评标原则。评标委员会必须公平、公正、客观，不带任何倾向性和启发性；不得向外界透露任何与评标有关的内容；任何单位和个人不得干扰、影响评标的正常进行；评标委员会及有关工作人员不得私下与供应商接触。</w:t>
      </w:r>
    </w:p>
    <w:p>
      <w:pPr>
        <w:pStyle w:val="17"/>
        <w:spacing w:line="440" w:lineRule="exact"/>
        <w:ind w:left="540" w:hanging="539" w:hangingChars="257"/>
        <w:rPr>
          <w:rFonts w:hAnsi="宋体"/>
        </w:rPr>
      </w:pPr>
      <w:r>
        <w:rPr>
          <w:rFonts w:hint="eastAsia" w:hAnsi="宋体"/>
        </w:rPr>
        <w:t>28.2  评标办法。详见第七章“评标办法”。</w:t>
      </w:r>
    </w:p>
    <w:p>
      <w:pPr>
        <w:pStyle w:val="17"/>
        <w:spacing w:line="440" w:lineRule="exact"/>
        <w:jc w:val="center"/>
        <w:rPr>
          <w:rFonts w:hAnsi="宋体"/>
          <w:b/>
          <w:bCs/>
        </w:rPr>
      </w:pPr>
    </w:p>
    <w:p>
      <w:pPr>
        <w:pStyle w:val="26"/>
        <w:jc w:val="left"/>
        <w:rPr>
          <w:sz w:val="24"/>
          <w:szCs w:val="24"/>
        </w:rPr>
      </w:pPr>
      <w:r>
        <w:rPr>
          <w:rFonts w:hint="eastAsia"/>
          <w:sz w:val="24"/>
          <w:szCs w:val="24"/>
        </w:rPr>
        <w:t>六、中标结果</w:t>
      </w:r>
    </w:p>
    <w:p>
      <w:pPr>
        <w:pStyle w:val="17"/>
        <w:spacing w:line="440" w:lineRule="exact"/>
        <w:rPr>
          <w:rFonts w:hAnsi="宋体"/>
        </w:rPr>
      </w:pPr>
      <w:r>
        <w:rPr>
          <w:rFonts w:hint="eastAsia" w:hAnsi="宋体"/>
        </w:rPr>
        <w:t>29.   中标人的确定</w:t>
      </w:r>
    </w:p>
    <w:p>
      <w:pPr>
        <w:spacing w:line="440" w:lineRule="exact"/>
        <w:rPr>
          <w:rFonts w:ascii="宋体" w:hAnsi="宋体"/>
        </w:rPr>
      </w:pPr>
      <w:r>
        <w:rPr>
          <w:rFonts w:hint="eastAsia" w:ascii="宋体" w:hAnsi="宋体"/>
          <w:szCs w:val="20"/>
        </w:rPr>
        <w:t>29.1  根据采购人的委托，由评标委员会直接确定第一中标候选人为中标人。</w:t>
      </w:r>
    </w:p>
    <w:p>
      <w:pPr>
        <w:pStyle w:val="17"/>
        <w:spacing w:line="440" w:lineRule="exact"/>
        <w:rPr>
          <w:rFonts w:hAnsi="宋体"/>
          <w:bCs/>
        </w:rPr>
      </w:pPr>
      <w:r>
        <w:rPr>
          <w:rFonts w:hint="eastAsia" w:hAnsi="宋体"/>
          <w:bCs/>
        </w:rPr>
        <w:t>30.   中标通知书</w:t>
      </w:r>
    </w:p>
    <w:p>
      <w:pPr>
        <w:pStyle w:val="17"/>
        <w:spacing w:line="360" w:lineRule="auto"/>
        <w:ind w:left="540" w:hanging="539" w:hangingChars="257"/>
        <w:rPr>
          <w:rFonts w:hAnsi="宋体"/>
        </w:rPr>
      </w:pPr>
      <w:r>
        <w:rPr>
          <w:rFonts w:hint="eastAsia" w:hAnsi="宋体"/>
        </w:rPr>
        <w:t>30.1  中标人确定后，中标结果由连云港市政府采购中心公告。中标公告期限为1个工作日。</w:t>
      </w:r>
    </w:p>
    <w:p>
      <w:pPr>
        <w:pStyle w:val="17"/>
        <w:spacing w:line="360" w:lineRule="auto"/>
        <w:ind w:left="540" w:hanging="539" w:hangingChars="257"/>
        <w:rPr>
          <w:rFonts w:hAnsi="宋体"/>
        </w:rPr>
      </w:pPr>
      <w:r>
        <w:rPr>
          <w:rFonts w:hint="eastAsia" w:hAnsi="宋体"/>
        </w:rPr>
        <w:t>30.2  在公告中标结果的同时，由连云港市政府采购中心向中标人发出中标通知书；对未通过资格审查的投标人，应当告知其未通过的原因；采用综合评分法评审的，还应当告知未中标人本人的评审得分与排序。</w:t>
      </w:r>
    </w:p>
    <w:p>
      <w:pPr>
        <w:pStyle w:val="17"/>
        <w:spacing w:line="440" w:lineRule="exact"/>
        <w:rPr>
          <w:rFonts w:hAnsi="宋体"/>
        </w:rPr>
      </w:pPr>
      <w:r>
        <w:rPr>
          <w:rFonts w:hint="eastAsia" w:hAnsi="宋体"/>
        </w:rPr>
        <w:t>30.3  连云港市政府采购中心无义务向未中标投标人解释落标原因和退回投标文件。</w:t>
      </w:r>
    </w:p>
    <w:p>
      <w:pPr>
        <w:pStyle w:val="17"/>
        <w:spacing w:line="440" w:lineRule="exact"/>
        <w:rPr>
          <w:rFonts w:hAnsi="宋体"/>
          <w:bCs/>
        </w:rPr>
      </w:pPr>
      <w:r>
        <w:rPr>
          <w:rFonts w:hint="eastAsia" w:hAnsi="宋体"/>
          <w:bCs/>
        </w:rPr>
        <w:t>31.   签订合同</w:t>
      </w:r>
    </w:p>
    <w:p>
      <w:pPr>
        <w:pStyle w:val="17"/>
        <w:spacing w:line="440" w:lineRule="exact"/>
        <w:ind w:left="630" w:hanging="630" w:hangingChars="300"/>
        <w:rPr>
          <w:rFonts w:hAnsi="宋体"/>
        </w:rPr>
      </w:pPr>
      <w:r>
        <w:rPr>
          <w:rFonts w:hint="eastAsia" w:hAnsi="宋体"/>
        </w:rPr>
        <w:t>31.1  中标人收到中标通知书后，按招标文件、投标文件及有关澄清承诺书的要求与采购人在三十日内签订合同，并送交连云港市政府采购中心备案，否则，财政部门将延期支付合同款，直至停止采购资金计划执行。采购人在合同正式签订后七个工作日内送一份至政府采购监督管理部门备案。</w:t>
      </w:r>
    </w:p>
    <w:p>
      <w:pPr>
        <w:pStyle w:val="17"/>
        <w:spacing w:line="440" w:lineRule="exact"/>
        <w:ind w:left="630" w:hanging="630" w:hangingChars="300"/>
        <w:rPr>
          <w:rFonts w:hAnsi="宋体"/>
        </w:rPr>
      </w:pPr>
      <w:r>
        <w:rPr>
          <w:rFonts w:hint="eastAsia" w:hAnsi="宋体"/>
        </w:rPr>
        <w:t>31.2  中标人因不可抗力或者自身原因不能履行政府采购合同的，按政府采购相关法律法规执行。</w:t>
      </w:r>
    </w:p>
    <w:p>
      <w:pPr>
        <w:pStyle w:val="17"/>
        <w:spacing w:line="440" w:lineRule="exact"/>
        <w:jc w:val="left"/>
        <w:rPr>
          <w:rFonts w:hAnsi="宋体"/>
          <w:bCs/>
        </w:rPr>
      </w:pPr>
      <w:r>
        <w:rPr>
          <w:rFonts w:hint="eastAsia" w:hAnsi="宋体"/>
          <w:bCs/>
        </w:rPr>
        <w:t>32.   履约保证金及质保金</w:t>
      </w:r>
    </w:p>
    <w:p>
      <w:pPr>
        <w:pStyle w:val="17"/>
        <w:spacing w:line="440" w:lineRule="exact"/>
        <w:jc w:val="left"/>
        <w:rPr>
          <w:rFonts w:hAnsi="宋体"/>
          <w:bCs/>
        </w:rPr>
      </w:pPr>
      <w:r>
        <w:rPr>
          <w:rFonts w:hint="eastAsia" w:hAnsi="宋体"/>
          <w:bCs/>
        </w:rPr>
        <w:t>32.1  中标人应向采购人缴纳履约保证金，具体金额由双方协商确定。</w:t>
      </w:r>
    </w:p>
    <w:p>
      <w:pPr>
        <w:pStyle w:val="17"/>
        <w:spacing w:line="440" w:lineRule="exact"/>
        <w:jc w:val="left"/>
        <w:rPr>
          <w:rFonts w:hAnsi="宋体"/>
          <w:bCs/>
        </w:rPr>
      </w:pPr>
      <w:r>
        <w:rPr>
          <w:rFonts w:hint="eastAsia" w:hAnsi="宋体"/>
          <w:bCs/>
        </w:rPr>
        <w:t>32.2  签订合同后，如中标人不按双方签订合同约定履约，则没收其全部履约保证金，履约保证金不足以赔偿损失的，按实际损失赔偿。</w:t>
      </w:r>
    </w:p>
    <w:p>
      <w:pPr>
        <w:pStyle w:val="17"/>
        <w:spacing w:line="440" w:lineRule="exact"/>
        <w:jc w:val="left"/>
        <w:rPr>
          <w:rFonts w:hAnsi="宋体"/>
          <w:bCs/>
        </w:rPr>
      </w:pPr>
      <w:r>
        <w:rPr>
          <w:rFonts w:hint="eastAsia" w:hAnsi="宋体"/>
          <w:bCs/>
        </w:rPr>
        <w:t>32.3  履约保证金在中标人按合同约定交货验收合格后如数退还（不计利息）。</w:t>
      </w:r>
    </w:p>
    <w:p>
      <w:pPr>
        <w:pStyle w:val="17"/>
        <w:spacing w:line="440" w:lineRule="exact"/>
        <w:jc w:val="left"/>
        <w:rPr>
          <w:rFonts w:hAnsi="宋体"/>
          <w:bCs/>
        </w:rPr>
      </w:pPr>
      <w:r>
        <w:rPr>
          <w:rFonts w:hint="eastAsia" w:hAnsi="宋体"/>
          <w:bCs/>
        </w:rPr>
        <w:t>32.4  采购人与中标人应按第五章条款约定质保金，质保期内中标人提供的货物性能、质量和服务符合合同约定，经验收合格，质保期满后该款如数退还（不计利息）。</w:t>
      </w:r>
    </w:p>
    <w:p>
      <w:pPr>
        <w:pStyle w:val="17"/>
        <w:spacing w:line="440" w:lineRule="exact"/>
        <w:jc w:val="left"/>
        <w:rPr>
          <w:rFonts w:hAnsi="宋体"/>
        </w:rPr>
      </w:pPr>
    </w:p>
    <w:p>
      <w:pPr>
        <w:pStyle w:val="26"/>
        <w:jc w:val="left"/>
        <w:rPr>
          <w:sz w:val="24"/>
          <w:szCs w:val="24"/>
        </w:rPr>
      </w:pPr>
      <w:r>
        <w:rPr>
          <w:rFonts w:hint="eastAsia"/>
          <w:sz w:val="24"/>
          <w:szCs w:val="24"/>
        </w:rPr>
        <w:t>七、其他事项</w:t>
      </w:r>
    </w:p>
    <w:p>
      <w:pPr>
        <w:pStyle w:val="17"/>
        <w:spacing w:line="440" w:lineRule="exact"/>
        <w:rPr>
          <w:rFonts w:hAnsi="宋体"/>
          <w:bCs/>
        </w:rPr>
      </w:pPr>
      <w:r>
        <w:rPr>
          <w:rFonts w:hint="eastAsia" w:hAnsi="宋体"/>
          <w:bCs/>
        </w:rPr>
        <w:t>33.   采购集采服务费</w:t>
      </w:r>
    </w:p>
    <w:p>
      <w:pPr>
        <w:pStyle w:val="17"/>
        <w:spacing w:line="440" w:lineRule="exact"/>
        <w:ind w:left="630" w:hanging="630" w:hangingChars="300"/>
        <w:rPr>
          <w:rFonts w:hAnsi="宋体"/>
        </w:rPr>
      </w:pPr>
      <w:r>
        <w:rPr>
          <w:rFonts w:hint="eastAsia" w:hAnsi="宋体"/>
        </w:rPr>
        <w:t>33.1  连云港市政府采购中心集采政府采购业务不收取采购集采服务费。</w:t>
      </w:r>
    </w:p>
    <w:p>
      <w:pPr>
        <w:pStyle w:val="17"/>
        <w:spacing w:line="440" w:lineRule="exact"/>
        <w:rPr>
          <w:rFonts w:hAnsi="宋体"/>
          <w:bCs/>
        </w:rPr>
      </w:pPr>
      <w:r>
        <w:rPr>
          <w:rFonts w:hint="eastAsia" w:hAnsi="宋体"/>
          <w:bCs/>
        </w:rPr>
        <w:t>34.   解释权</w:t>
      </w:r>
    </w:p>
    <w:p>
      <w:pPr>
        <w:pStyle w:val="17"/>
        <w:spacing w:line="440" w:lineRule="exact"/>
        <w:ind w:left="630" w:leftChars="300"/>
        <w:rPr>
          <w:rFonts w:hAnsi="宋体"/>
        </w:rPr>
      </w:pPr>
      <w:r>
        <w:rPr>
          <w:rFonts w:hint="eastAsia" w:hAnsi="宋体"/>
        </w:rPr>
        <w:t>本招标文件是根据《中华人民共和国政府采购法》、《政府采购货物和服务招标投标管理办法》及相关法律法规编制，解释权属连云港市政府采购中心。</w:t>
      </w:r>
    </w:p>
    <w:p>
      <w:pPr>
        <w:pStyle w:val="17"/>
        <w:spacing w:line="440" w:lineRule="exact"/>
        <w:rPr>
          <w:rFonts w:hAnsi="宋体"/>
          <w:bCs/>
        </w:rPr>
      </w:pPr>
      <w:r>
        <w:rPr>
          <w:rFonts w:hint="eastAsia" w:hAnsi="宋体"/>
          <w:bCs/>
        </w:rPr>
        <w:t>35.　 有关事宜</w:t>
      </w:r>
    </w:p>
    <w:p>
      <w:pPr>
        <w:pStyle w:val="17"/>
        <w:spacing w:line="440" w:lineRule="exact"/>
        <w:ind w:firstLine="630" w:firstLineChars="300"/>
        <w:rPr>
          <w:rFonts w:hAnsi="宋体"/>
        </w:rPr>
      </w:pPr>
      <w:r>
        <w:rPr>
          <w:rFonts w:hint="eastAsia" w:hAnsi="宋体"/>
        </w:rPr>
        <w:t>所有与本采购文件有关的函电和通讯地址见“投标邀请”。</w:t>
      </w:r>
    </w:p>
    <w:p>
      <w:pPr>
        <w:pStyle w:val="17"/>
        <w:jc w:val="center"/>
        <w:outlineLvl w:val="0"/>
        <w:rPr>
          <w:rFonts w:hAnsi="宋体"/>
          <w:b/>
          <w:sz w:val="36"/>
        </w:rPr>
      </w:pPr>
      <w:r>
        <w:rPr>
          <w:rFonts w:hAnsi="宋体"/>
        </w:rPr>
        <w:br w:type="page"/>
      </w:r>
      <w:bookmarkStart w:id="4" w:name="_Toc139966427"/>
      <w:bookmarkStart w:id="5" w:name="_Toc139967211"/>
      <w:bookmarkStart w:id="6" w:name="_Toc494123933"/>
      <w:r>
        <w:rPr>
          <w:rFonts w:hint="eastAsia" w:hAnsi="宋体"/>
          <w:b/>
          <w:sz w:val="36"/>
        </w:rPr>
        <w:t>第三章  政府采购合同格式</w:t>
      </w:r>
      <w:bookmarkEnd w:id="4"/>
      <w:bookmarkEnd w:id="5"/>
      <w:bookmarkEnd w:id="6"/>
    </w:p>
    <w:p>
      <w:pPr>
        <w:spacing w:line="360" w:lineRule="auto"/>
        <w:ind w:firstLine="880" w:firstLineChars="200"/>
        <w:rPr>
          <w:rFonts w:ascii="宋体" w:hAnsi="宋体"/>
          <w:sz w:val="44"/>
        </w:rPr>
      </w:pPr>
    </w:p>
    <w:p>
      <w:pPr>
        <w:spacing w:line="360" w:lineRule="auto"/>
        <w:ind w:firstLine="880" w:firstLineChars="200"/>
        <w:rPr>
          <w:rFonts w:ascii="宋体" w:hAnsi="宋体"/>
          <w:sz w:val="44"/>
        </w:rPr>
      </w:pPr>
    </w:p>
    <w:p>
      <w:pPr>
        <w:spacing w:line="360" w:lineRule="auto"/>
        <w:ind w:firstLine="880" w:firstLineChars="200"/>
        <w:rPr>
          <w:rFonts w:ascii="宋体" w:hAnsi="宋体"/>
          <w:sz w:val="44"/>
        </w:rPr>
      </w:pPr>
    </w:p>
    <w:p>
      <w:pPr>
        <w:spacing w:line="360" w:lineRule="auto"/>
        <w:ind w:firstLine="880" w:firstLineChars="200"/>
        <w:rPr>
          <w:rFonts w:ascii="宋体" w:hAnsi="宋体"/>
          <w:sz w:val="44"/>
        </w:rPr>
      </w:pPr>
    </w:p>
    <w:p>
      <w:pPr>
        <w:spacing w:line="360" w:lineRule="auto"/>
        <w:ind w:firstLine="2078" w:firstLineChars="398"/>
        <w:rPr>
          <w:rFonts w:ascii="宋体" w:hAnsi="宋体"/>
          <w:b/>
          <w:bCs/>
          <w:sz w:val="52"/>
        </w:rPr>
      </w:pPr>
      <w:r>
        <w:rPr>
          <w:rFonts w:hint="eastAsia" w:ascii="宋体" w:hAnsi="宋体"/>
          <w:b/>
          <w:bCs/>
          <w:sz w:val="52"/>
        </w:rPr>
        <w:t>连 云 港 市 政 府 采 购</w:t>
      </w:r>
    </w:p>
    <w:p>
      <w:pPr>
        <w:spacing w:line="360" w:lineRule="auto"/>
        <w:ind w:firstLine="420" w:firstLineChars="200"/>
        <w:rPr>
          <w:rFonts w:ascii="宋体" w:hAnsi="宋体"/>
        </w:rPr>
      </w:pPr>
    </w:p>
    <w:p>
      <w:pPr>
        <w:spacing w:line="360" w:lineRule="auto"/>
        <w:jc w:val="center"/>
        <w:rPr>
          <w:rFonts w:ascii="宋体" w:hAnsi="宋体"/>
          <w:b/>
          <w:bCs/>
          <w:sz w:val="44"/>
        </w:rPr>
      </w:pPr>
      <w:r>
        <w:rPr>
          <w:rFonts w:hint="eastAsia" w:ascii="宋体" w:hAnsi="宋体"/>
          <w:b/>
          <w:bCs/>
          <w:sz w:val="44"/>
          <w:u w:val="single"/>
        </w:rPr>
        <w:t xml:space="preserve">                    </w:t>
      </w:r>
      <w:r>
        <w:rPr>
          <w:rFonts w:hint="eastAsia" w:ascii="宋体" w:hAnsi="宋体"/>
          <w:b/>
          <w:bCs/>
          <w:sz w:val="44"/>
        </w:rPr>
        <w:t>合同</w:t>
      </w:r>
    </w:p>
    <w:p>
      <w:pPr>
        <w:spacing w:line="360" w:lineRule="auto"/>
        <w:ind w:firstLine="420" w:firstLineChars="200"/>
        <w:rPr>
          <w:rFonts w:ascii="宋体" w:hAnsi="宋体"/>
        </w:rPr>
      </w:pPr>
    </w:p>
    <w:p>
      <w:pPr>
        <w:spacing w:line="360" w:lineRule="auto"/>
        <w:ind w:firstLine="3507" w:firstLineChars="794"/>
        <w:rPr>
          <w:rFonts w:ascii="宋体" w:hAnsi="宋体"/>
          <w:b/>
          <w:bCs/>
          <w:sz w:val="44"/>
        </w:rPr>
      </w:pPr>
    </w:p>
    <w:p>
      <w:pPr>
        <w:spacing w:line="360" w:lineRule="auto"/>
        <w:ind w:firstLine="3507" w:firstLineChars="794"/>
        <w:rPr>
          <w:rFonts w:ascii="宋体" w:hAnsi="宋体"/>
          <w:b/>
          <w:bCs/>
          <w:sz w:val="44"/>
        </w:rPr>
      </w:pPr>
    </w:p>
    <w:p>
      <w:pPr>
        <w:spacing w:line="360" w:lineRule="auto"/>
        <w:ind w:firstLine="3507" w:firstLineChars="794"/>
        <w:rPr>
          <w:rFonts w:ascii="宋体" w:hAnsi="宋体"/>
          <w:b/>
          <w:bCs/>
          <w:sz w:val="44"/>
        </w:rPr>
      </w:pPr>
    </w:p>
    <w:p>
      <w:pPr>
        <w:spacing w:line="360" w:lineRule="auto"/>
        <w:ind w:firstLine="1966" w:firstLineChars="445"/>
        <w:rPr>
          <w:rFonts w:ascii="宋体" w:hAnsi="宋体"/>
          <w:b/>
          <w:bCs/>
          <w:sz w:val="44"/>
          <w:szCs w:val="44"/>
        </w:rPr>
      </w:pPr>
      <w:r>
        <w:rPr>
          <w:rFonts w:hint="eastAsia" w:ascii="宋体" w:hAnsi="宋体"/>
          <w:b/>
          <w:bCs/>
          <w:sz w:val="44"/>
          <w:szCs w:val="44"/>
        </w:rPr>
        <w:t>合同编号：</w:t>
      </w:r>
    </w:p>
    <w:p>
      <w:pPr>
        <w:spacing w:line="360" w:lineRule="auto"/>
        <w:ind w:firstLine="880" w:firstLineChars="200"/>
        <w:rPr>
          <w:rFonts w:ascii="宋体" w:hAnsi="宋体"/>
          <w:sz w:val="44"/>
        </w:rPr>
      </w:pPr>
    </w:p>
    <w:p>
      <w:pPr>
        <w:spacing w:line="360" w:lineRule="auto"/>
        <w:ind w:firstLine="880" w:firstLineChars="200"/>
        <w:rPr>
          <w:rFonts w:ascii="宋体" w:hAnsi="宋体"/>
          <w:sz w:val="44"/>
        </w:rPr>
      </w:pPr>
    </w:p>
    <w:p>
      <w:pPr>
        <w:spacing w:line="360" w:lineRule="auto"/>
        <w:ind w:firstLine="880" w:firstLineChars="200"/>
        <w:rPr>
          <w:rFonts w:ascii="宋体" w:hAnsi="宋体"/>
          <w:sz w:val="44"/>
        </w:rPr>
      </w:pPr>
    </w:p>
    <w:p>
      <w:pPr>
        <w:spacing w:line="360" w:lineRule="auto"/>
        <w:ind w:firstLine="1758" w:firstLineChars="398"/>
        <w:rPr>
          <w:rFonts w:ascii="宋体" w:hAnsi="宋体"/>
          <w:b/>
          <w:bCs/>
          <w:sz w:val="44"/>
        </w:rPr>
      </w:pPr>
      <w:r>
        <w:rPr>
          <w:rFonts w:hint="eastAsia" w:ascii="宋体" w:hAnsi="宋体"/>
          <w:b/>
          <w:bCs/>
          <w:sz w:val="44"/>
        </w:rPr>
        <w:t>采购人：</w:t>
      </w:r>
    </w:p>
    <w:p>
      <w:pPr>
        <w:spacing w:line="360" w:lineRule="auto"/>
        <w:ind w:firstLine="1758" w:firstLineChars="398"/>
        <w:rPr>
          <w:rFonts w:ascii="宋体" w:hAnsi="宋体"/>
          <w:b/>
          <w:bCs/>
          <w:sz w:val="44"/>
        </w:rPr>
      </w:pPr>
      <w:r>
        <w:rPr>
          <w:rFonts w:hint="eastAsia" w:ascii="宋体" w:hAnsi="宋体"/>
          <w:b/>
          <w:bCs/>
          <w:sz w:val="44"/>
        </w:rPr>
        <w:t>中标供应商：</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rPr>
          <w:rFonts w:ascii="宋体" w:hAnsi="宋体"/>
          <w:sz w:val="28"/>
        </w:rPr>
      </w:pPr>
    </w:p>
    <w:p>
      <w:pPr>
        <w:ind w:left="359" w:leftChars="171" w:firstLine="227" w:firstLineChars="71"/>
        <w:jc w:val="center"/>
        <w:rPr>
          <w:rFonts w:ascii="宋体" w:hAnsi="宋体"/>
          <w:sz w:val="32"/>
          <w:szCs w:val="32"/>
        </w:rPr>
      </w:pPr>
      <w:r>
        <w:rPr>
          <w:rFonts w:hint="eastAsia" w:ascii="宋体" w:hAnsi="宋体"/>
          <w:sz w:val="32"/>
          <w:szCs w:val="32"/>
        </w:rPr>
        <w:t>目  录</w:t>
      </w:r>
    </w:p>
    <w:p>
      <w:pPr>
        <w:tabs>
          <w:tab w:val="left" w:pos="1170"/>
        </w:tabs>
        <w:spacing w:line="360" w:lineRule="auto"/>
        <w:ind w:left="359" w:leftChars="171" w:firstLine="198" w:firstLineChars="71"/>
        <w:rPr>
          <w:rFonts w:ascii="宋体" w:hAnsi="宋体"/>
          <w:sz w:val="28"/>
        </w:rPr>
      </w:pPr>
      <w:r>
        <w:rPr>
          <w:rFonts w:ascii="宋体" w:hAnsi="宋体"/>
          <w:sz w:val="28"/>
        </w:rPr>
        <w:tab/>
      </w:r>
    </w:p>
    <w:p>
      <w:pPr>
        <w:numPr>
          <w:ilvl w:val="0"/>
          <w:numId w:val="1"/>
        </w:numPr>
        <w:ind w:left="357" w:firstLine="723"/>
        <w:rPr>
          <w:rFonts w:ascii="宋体" w:hAnsi="宋体"/>
          <w:sz w:val="28"/>
        </w:rPr>
      </w:pPr>
      <w:r>
        <w:rPr>
          <w:rFonts w:hint="eastAsia" w:ascii="宋体" w:hAnsi="宋体"/>
          <w:sz w:val="28"/>
        </w:rPr>
        <w:t>合同书</w:t>
      </w:r>
    </w:p>
    <w:p>
      <w:pPr>
        <w:numPr>
          <w:ilvl w:val="0"/>
          <w:numId w:val="1"/>
        </w:numPr>
        <w:ind w:left="357" w:firstLine="723"/>
        <w:rPr>
          <w:rFonts w:ascii="宋体" w:hAnsi="宋体"/>
          <w:sz w:val="28"/>
        </w:rPr>
      </w:pPr>
      <w:r>
        <w:rPr>
          <w:rFonts w:hint="eastAsia" w:ascii="宋体" w:hAnsi="宋体"/>
          <w:sz w:val="28"/>
        </w:rPr>
        <w:t>中标通知书</w:t>
      </w:r>
    </w:p>
    <w:p>
      <w:pPr>
        <w:numPr>
          <w:ilvl w:val="0"/>
          <w:numId w:val="1"/>
        </w:numPr>
        <w:ind w:left="357" w:firstLine="723"/>
        <w:rPr>
          <w:rFonts w:ascii="宋体" w:hAnsi="宋体"/>
          <w:sz w:val="28"/>
        </w:rPr>
      </w:pPr>
      <w:r>
        <w:rPr>
          <w:rFonts w:hint="eastAsia" w:ascii="宋体" w:hAnsi="宋体"/>
          <w:sz w:val="28"/>
        </w:rPr>
        <w:t>履约保证金缴纳证明</w:t>
      </w:r>
    </w:p>
    <w:p>
      <w:pPr>
        <w:numPr>
          <w:ilvl w:val="0"/>
          <w:numId w:val="1"/>
        </w:numPr>
        <w:ind w:left="357" w:firstLine="723"/>
        <w:rPr>
          <w:rFonts w:ascii="宋体" w:hAnsi="宋体"/>
          <w:sz w:val="28"/>
        </w:rPr>
      </w:pPr>
      <w:r>
        <w:rPr>
          <w:rFonts w:hint="eastAsia" w:ascii="宋体" w:hAnsi="宋体"/>
          <w:sz w:val="28"/>
        </w:rPr>
        <w:t>采购文件项目需求</w:t>
      </w:r>
    </w:p>
    <w:p>
      <w:pPr>
        <w:numPr>
          <w:ilvl w:val="0"/>
          <w:numId w:val="1"/>
        </w:numPr>
        <w:ind w:left="357" w:firstLine="723"/>
        <w:rPr>
          <w:rFonts w:ascii="宋体" w:hAnsi="宋体"/>
          <w:sz w:val="28"/>
        </w:rPr>
      </w:pPr>
      <w:r>
        <w:rPr>
          <w:rFonts w:hint="eastAsia" w:ascii="宋体" w:hAnsi="宋体"/>
          <w:sz w:val="28"/>
        </w:rPr>
        <w:t>项目更改及补充文件</w:t>
      </w:r>
    </w:p>
    <w:p>
      <w:pPr>
        <w:numPr>
          <w:ilvl w:val="0"/>
          <w:numId w:val="1"/>
        </w:numPr>
        <w:ind w:firstLine="723"/>
        <w:rPr>
          <w:rFonts w:ascii="宋体" w:hAnsi="宋体"/>
          <w:sz w:val="28"/>
        </w:rPr>
      </w:pPr>
      <w:r>
        <w:rPr>
          <w:rFonts w:hint="eastAsia" w:ascii="宋体" w:hAnsi="宋体"/>
          <w:sz w:val="28"/>
        </w:rPr>
        <w:t>投标报价表</w:t>
      </w:r>
    </w:p>
    <w:p>
      <w:pPr>
        <w:numPr>
          <w:ilvl w:val="0"/>
          <w:numId w:val="1"/>
        </w:numPr>
        <w:ind w:firstLine="723"/>
        <w:rPr>
          <w:rFonts w:ascii="宋体" w:hAnsi="宋体"/>
          <w:sz w:val="28"/>
        </w:rPr>
      </w:pPr>
      <w:r>
        <w:rPr>
          <w:rFonts w:hint="eastAsia" w:ascii="宋体" w:hAnsi="宋体"/>
          <w:sz w:val="28"/>
        </w:rPr>
        <w:t>商务条款偏离表、技术规格偏离表</w:t>
      </w:r>
    </w:p>
    <w:p>
      <w:pPr>
        <w:numPr>
          <w:ilvl w:val="0"/>
          <w:numId w:val="1"/>
        </w:numPr>
        <w:ind w:firstLine="723"/>
        <w:rPr>
          <w:rFonts w:ascii="宋体" w:hAnsi="宋体"/>
          <w:sz w:val="28"/>
        </w:rPr>
      </w:pPr>
      <w:r>
        <w:rPr>
          <w:rFonts w:hint="eastAsia" w:ascii="宋体" w:hAnsi="宋体"/>
          <w:sz w:val="28"/>
        </w:rPr>
        <w:t>中标供应商澄清函</w:t>
      </w:r>
    </w:p>
    <w:p>
      <w:pPr>
        <w:spacing w:line="360" w:lineRule="auto"/>
        <w:jc w:val="center"/>
        <w:rPr>
          <w:rFonts w:ascii="宋体" w:hAnsi="宋体"/>
          <w:b/>
          <w:bCs/>
          <w:sz w:val="28"/>
        </w:rPr>
      </w:pPr>
    </w:p>
    <w:p>
      <w:pPr>
        <w:spacing w:line="360" w:lineRule="auto"/>
        <w:jc w:val="center"/>
        <w:rPr>
          <w:rFonts w:ascii="宋体" w:hAnsi="宋体"/>
          <w:b/>
          <w:bCs/>
          <w:sz w:val="28"/>
        </w:rPr>
      </w:pPr>
    </w:p>
    <w:p>
      <w:pPr>
        <w:spacing w:line="360" w:lineRule="auto"/>
        <w:jc w:val="center"/>
        <w:rPr>
          <w:rFonts w:ascii="宋体" w:hAnsi="宋体"/>
          <w:b/>
          <w:bCs/>
          <w:sz w:val="32"/>
          <w:szCs w:val="32"/>
        </w:rPr>
      </w:pPr>
      <w:r>
        <w:rPr>
          <w:rFonts w:ascii="宋体" w:hAnsi="宋体"/>
          <w:bCs/>
          <w:sz w:val="28"/>
        </w:rPr>
        <w:br w:type="page"/>
      </w:r>
      <w:r>
        <w:rPr>
          <w:rFonts w:hint="eastAsia" w:ascii="宋体" w:hAnsi="宋体"/>
          <w:b/>
          <w:sz w:val="32"/>
          <w:szCs w:val="32"/>
        </w:rPr>
        <w:t>连云港市政府采购合同</w:t>
      </w:r>
    </w:p>
    <w:p>
      <w:pPr>
        <w:pStyle w:val="17"/>
        <w:jc w:val="center"/>
        <w:rPr>
          <w:rFonts w:hAnsi="宋体"/>
          <w:b/>
          <w:sz w:val="32"/>
        </w:rPr>
      </w:pPr>
    </w:p>
    <w:p>
      <w:pPr>
        <w:pStyle w:val="17"/>
        <w:wordWrap w:val="0"/>
        <w:jc w:val="right"/>
        <w:rPr>
          <w:rFonts w:hAnsi="宋体"/>
        </w:rPr>
      </w:pPr>
      <w:r>
        <w:rPr>
          <w:rFonts w:hint="eastAsia" w:hAnsi="宋体"/>
        </w:rPr>
        <w:t>合同编号：</w:t>
      </w:r>
      <w:r>
        <w:rPr>
          <w:rFonts w:hint="eastAsia" w:hAnsi="宋体"/>
          <w:u w:val="single"/>
        </w:rPr>
        <w:t xml:space="preserve">             </w:t>
      </w:r>
    </w:p>
    <w:p>
      <w:pPr>
        <w:pStyle w:val="17"/>
        <w:rPr>
          <w:rFonts w:hAnsi="宋体"/>
        </w:rPr>
      </w:pPr>
      <w:r>
        <w:rPr>
          <w:rFonts w:hint="eastAsia" w:hAnsi="宋体"/>
        </w:rPr>
        <w:t>项目名称：</w:t>
      </w:r>
    </w:p>
    <w:p>
      <w:pPr>
        <w:pStyle w:val="17"/>
        <w:rPr>
          <w:rFonts w:hAnsi="宋体"/>
        </w:rPr>
      </w:pPr>
      <w:r>
        <w:rPr>
          <w:rFonts w:hint="eastAsia" w:hAnsi="宋体"/>
        </w:rPr>
        <w:t>项目编号：</w:t>
      </w:r>
    </w:p>
    <w:p>
      <w:pPr>
        <w:pStyle w:val="17"/>
        <w:rPr>
          <w:rFonts w:hAnsi="宋体"/>
        </w:rPr>
      </w:pPr>
    </w:p>
    <w:p>
      <w:pPr>
        <w:pStyle w:val="17"/>
        <w:rPr>
          <w:rFonts w:hAnsi="宋体"/>
        </w:rPr>
      </w:pPr>
      <w:r>
        <w:rPr>
          <w:rFonts w:hint="eastAsia" w:hAnsi="宋体"/>
        </w:rPr>
        <w:t>甲方：（买方）</w:t>
      </w:r>
    </w:p>
    <w:p>
      <w:pPr>
        <w:pStyle w:val="17"/>
        <w:rPr>
          <w:rFonts w:hAnsi="宋体"/>
        </w:rPr>
      </w:pPr>
      <w:r>
        <w:rPr>
          <w:rFonts w:hint="eastAsia" w:hAnsi="宋体"/>
        </w:rPr>
        <w:t>乙方：（卖方）</w:t>
      </w:r>
    </w:p>
    <w:p>
      <w:pPr>
        <w:pStyle w:val="17"/>
        <w:spacing w:line="380" w:lineRule="exact"/>
        <w:rPr>
          <w:rFonts w:hAnsi="宋体"/>
        </w:rPr>
      </w:pPr>
      <w:r>
        <w:rPr>
          <w:rFonts w:hint="eastAsia" w:hAnsi="宋体"/>
        </w:rPr>
        <w:t>备案方：连云港市政府采购中心</w:t>
      </w:r>
    </w:p>
    <w:p>
      <w:pPr>
        <w:pStyle w:val="17"/>
        <w:spacing w:line="380" w:lineRule="exact"/>
        <w:rPr>
          <w:rFonts w:hAnsi="宋体"/>
        </w:rPr>
      </w:pPr>
    </w:p>
    <w:p>
      <w:pPr>
        <w:pStyle w:val="17"/>
        <w:spacing w:line="380" w:lineRule="exact"/>
        <w:ind w:firstLine="435"/>
        <w:rPr>
          <w:rFonts w:hAnsi="宋体"/>
          <w:b/>
        </w:rPr>
      </w:pPr>
      <w:r>
        <w:rPr>
          <w:rFonts w:hint="eastAsia" w:hAnsi="宋体"/>
        </w:rPr>
        <w:t>甲、乙双方根据</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日连云港市政府采购项目的采购结果，甲方接收乙方为本项目</w:t>
      </w:r>
      <w:r>
        <w:rPr>
          <w:rFonts w:hAnsi="宋体"/>
        </w:rPr>
        <w:t>____________________</w:t>
      </w:r>
      <w:r>
        <w:rPr>
          <w:rFonts w:hint="eastAsia" w:hAnsi="宋体"/>
        </w:rPr>
        <w:t>采购所做的投标文件，乙方必须完全按中标通知书中的</w:t>
      </w:r>
      <w:r>
        <w:rPr>
          <w:rFonts w:hAnsi="宋体"/>
        </w:rPr>
        <w:t>___</w:t>
      </w:r>
      <w:r>
        <w:rPr>
          <w:rFonts w:hint="eastAsia" w:hAnsi="宋体"/>
        </w:rPr>
        <w:t>分标项目履行义务。甲乙双方同意签署本合同（以下简称合同）。</w:t>
      </w:r>
    </w:p>
    <w:p>
      <w:pPr>
        <w:pStyle w:val="17"/>
        <w:spacing w:line="380" w:lineRule="exact"/>
        <w:rPr>
          <w:rFonts w:hAnsi="宋体"/>
          <w:b/>
        </w:rPr>
      </w:pPr>
    </w:p>
    <w:p>
      <w:pPr>
        <w:pStyle w:val="17"/>
        <w:spacing w:line="380" w:lineRule="exact"/>
        <w:rPr>
          <w:rFonts w:hAnsi="宋体"/>
          <w:b/>
        </w:rPr>
      </w:pPr>
      <w:r>
        <w:rPr>
          <w:rFonts w:hint="eastAsia" w:hAnsi="宋体"/>
          <w:b/>
        </w:rPr>
        <w:t>一、货物内容</w:t>
      </w:r>
    </w:p>
    <w:p>
      <w:pPr>
        <w:pStyle w:val="17"/>
        <w:spacing w:line="380" w:lineRule="exact"/>
        <w:rPr>
          <w:rFonts w:hAnsi="宋体"/>
        </w:rPr>
      </w:pPr>
      <w:r>
        <w:rPr>
          <w:rFonts w:hint="eastAsia" w:hAnsi="宋体"/>
        </w:rPr>
        <w:t>1.1 货物名称：</w:t>
      </w:r>
    </w:p>
    <w:p>
      <w:pPr>
        <w:pStyle w:val="17"/>
        <w:spacing w:line="380" w:lineRule="exact"/>
        <w:rPr>
          <w:rFonts w:hAnsi="宋体"/>
        </w:rPr>
      </w:pPr>
      <w:r>
        <w:rPr>
          <w:rFonts w:hint="eastAsia" w:hAnsi="宋体"/>
        </w:rPr>
        <w:t>1.2 型号规格：</w:t>
      </w:r>
    </w:p>
    <w:p>
      <w:pPr>
        <w:pStyle w:val="17"/>
        <w:spacing w:line="380" w:lineRule="exact"/>
        <w:rPr>
          <w:rFonts w:hAnsi="宋体"/>
        </w:rPr>
      </w:pPr>
      <w:r>
        <w:rPr>
          <w:rFonts w:hint="eastAsia" w:hAnsi="宋体"/>
        </w:rPr>
        <w:t>1.3 技术参数：</w:t>
      </w:r>
    </w:p>
    <w:p>
      <w:pPr>
        <w:pStyle w:val="17"/>
        <w:spacing w:line="380" w:lineRule="exact"/>
        <w:rPr>
          <w:rFonts w:hAnsi="宋体"/>
        </w:rPr>
      </w:pPr>
      <w:r>
        <w:rPr>
          <w:rFonts w:hint="eastAsia" w:hAnsi="宋体"/>
        </w:rPr>
        <w:t>1.4 数量（单位）：</w:t>
      </w:r>
    </w:p>
    <w:p>
      <w:pPr>
        <w:pStyle w:val="17"/>
        <w:spacing w:line="380" w:lineRule="exact"/>
        <w:rPr>
          <w:rFonts w:hAnsi="宋体"/>
          <w:b/>
        </w:rPr>
      </w:pPr>
    </w:p>
    <w:p>
      <w:pPr>
        <w:pStyle w:val="17"/>
        <w:spacing w:line="380" w:lineRule="exact"/>
        <w:rPr>
          <w:rFonts w:hAnsi="宋体"/>
          <w:b/>
        </w:rPr>
      </w:pPr>
      <w:r>
        <w:rPr>
          <w:rFonts w:hint="eastAsia" w:hAnsi="宋体"/>
          <w:b/>
        </w:rPr>
        <w:t>二、合同金额</w:t>
      </w:r>
    </w:p>
    <w:p>
      <w:pPr>
        <w:pStyle w:val="17"/>
        <w:spacing w:line="380" w:lineRule="exact"/>
        <w:ind w:left="359" w:hanging="359" w:hangingChars="171"/>
        <w:rPr>
          <w:rFonts w:hAnsi="宋体"/>
        </w:rPr>
      </w:pPr>
      <w:r>
        <w:rPr>
          <w:rFonts w:hint="eastAsia" w:hAnsi="宋体"/>
        </w:rPr>
        <w:t>2.1 本合同金额为（大写）：</w:t>
      </w:r>
      <w:r>
        <w:rPr>
          <w:rFonts w:hAnsi="宋体"/>
        </w:rPr>
        <w:t>____________________________________</w:t>
      </w:r>
      <w:r>
        <w:rPr>
          <w:rFonts w:hint="eastAsia" w:hAnsi="宋体"/>
        </w:rPr>
        <w:t>元（¥</w:t>
      </w:r>
      <w:r>
        <w:rPr>
          <w:rFonts w:hAnsi="宋体"/>
        </w:rPr>
        <w:t>_______________</w:t>
      </w:r>
      <w:r>
        <w:rPr>
          <w:rFonts w:hint="eastAsia" w:hAnsi="宋体"/>
        </w:rPr>
        <w:t>元）人民币。</w:t>
      </w:r>
    </w:p>
    <w:p>
      <w:pPr>
        <w:pStyle w:val="17"/>
        <w:spacing w:line="380" w:lineRule="exact"/>
        <w:rPr>
          <w:rFonts w:hAnsi="宋体"/>
        </w:rPr>
      </w:pPr>
      <w:r>
        <w:rPr>
          <w:rFonts w:hint="eastAsia" w:hAnsi="宋体"/>
        </w:rPr>
        <w:t>（详见投标报价表）</w:t>
      </w:r>
    </w:p>
    <w:p>
      <w:pPr>
        <w:pStyle w:val="17"/>
        <w:spacing w:line="380" w:lineRule="exact"/>
        <w:rPr>
          <w:rFonts w:hAnsi="宋体"/>
        </w:rPr>
      </w:pPr>
    </w:p>
    <w:p>
      <w:pPr>
        <w:pStyle w:val="17"/>
        <w:spacing w:line="380" w:lineRule="exact"/>
        <w:rPr>
          <w:rFonts w:hAnsi="宋体"/>
          <w:b/>
        </w:rPr>
      </w:pPr>
      <w:r>
        <w:rPr>
          <w:rFonts w:hint="eastAsia" w:hAnsi="宋体"/>
          <w:b/>
        </w:rPr>
        <w:t>三、技术资料</w:t>
      </w:r>
    </w:p>
    <w:p>
      <w:pPr>
        <w:pStyle w:val="17"/>
        <w:spacing w:line="380" w:lineRule="exact"/>
        <w:rPr>
          <w:rFonts w:hAnsi="宋体"/>
        </w:rPr>
      </w:pPr>
      <w:r>
        <w:rPr>
          <w:rFonts w:hint="eastAsia" w:hAnsi="宋体"/>
        </w:rPr>
        <w:t>3.1 甲方向乙方提供货物的有关技术资料。</w:t>
      </w:r>
    </w:p>
    <w:p>
      <w:pPr>
        <w:pStyle w:val="17"/>
        <w:spacing w:line="380" w:lineRule="exact"/>
        <w:ind w:left="359" w:hanging="359" w:hangingChars="171"/>
        <w:rPr>
          <w:rFonts w:hAnsi="宋体"/>
        </w:rPr>
      </w:pPr>
      <w:r>
        <w:rPr>
          <w:rFonts w:hint="eastAsia" w:hAnsi="宋体"/>
        </w:rPr>
        <w:t>3.2 乙方应按采购文件规定的时间向甲方提供使用货物的有关技术资料。</w:t>
      </w:r>
    </w:p>
    <w:p>
      <w:pPr>
        <w:pStyle w:val="17"/>
        <w:spacing w:line="380" w:lineRule="exact"/>
        <w:ind w:left="359" w:hanging="359" w:hangingChars="171"/>
        <w:rPr>
          <w:rFonts w:hAnsi="宋体"/>
        </w:rPr>
      </w:pPr>
      <w:r>
        <w:rPr>
          <w:rFonts w:hint="eastAsia" w:hAnsi="宋体"/>
        </w:rPr>
        <w:t>3.3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7"/>
        <w:spacing w:line="380" w:lineRule="exact"/>
        <w:ind w:left="359" w:hanging="359" w:hangingChars="171"/>
        <w:rPr>
          <w:rFonts w:hAnsi="宋体"/>
        </w:rPr>
      </w:pPr>
    </w:p>
    <w:p>
      <w:pPr>
        <w:pStyle w:val="17"/>
        <w:spacing w:line="380" w:lineRule="exact"/>
        <w:ind w:left="360" w:hanging="361" w:hangingChars="171"/>
        <w:rPr>
          <w:rFonts w:hAnsi="宋体"/>
          <w:b/>
        </w:rPr>
      </w:pPr>
      <w:r>
        <w:rPr>
          <w:rFonts w:hint="eastAsia" w:hAnsi="宋体"/>
          <w:b/>
        </w:rPr>
        <w:t>四、知识产权</w:t>
      </w:r>
    </w:p>
    <w:p>
      <w:pPr>
        <w:pStyle w:val="17"/>
        <w:spacing w:line="380" w:lineRule="exact"/>
        <w:ind w:left="359" w:hanging="359" w:hangingChars="171"/>
        <w:rPr>
          <w:rFonts w:hAnsi="宋体"/>
          <w:b/>
          <w:bCs/>
        </w:rPr>
      </w:pPr>
      <w:r>
        <w:rPr>
          <w:rFonts w:hint="eastAsia" w:hAnsi="宋体"/>
        </w:rPr>
        <w:t>4.1 乙方应保证所提供的货物或其任何一部分均不会侵犯任何第三方的专利权、商标权或著作权</w:t>
      </w:r>
      <w:r>
        <w:rPr>
          <w:rFonts w:hint="eastAsia" w:hAnsi="宋体"/>
          <w:b/>
          <w:bCs/>
        </w:rPr>
        <w:t>。</w:t>
      </w:r>
    </w:p>
    <w:p>
      <w:pPr>
        <w:pStyle w:val="17"/>
        <w:spacing w:line="380" w:lineRule="exact"/>
        <w:ind w:left="359" w:hanging="359" w:hangingChars="171"/>
        <w:rPr>
          <w:rFonts w:hAnsi="宋体"/>
        </w:rPr>
      </w:pPr>
    </w:p>
    <w:p>
      <w:pPr>
        <w:pStyle w:val="17"/>
        <w:spacing w:line="380" w:lineRule="exact"/>
        <w:rPr>
          <w:rFonts w:hAnsi="宋体"/>
          <w:u w:val="single"/>
        </w:rPr>
      </w:pPr>
      <w:r>
        <w:rPr>
          <w:rFonts w:hint="eastAsia" w:hAnsi="宋体"/>
          <w:b/>
        </w:rPr>
        <w:t>五、无产权瑕疵条款</w:t>
      </w:r>
    </w:p>
    <w:p>
      <w:pPr>
        <w:pStyle w:val="17"/>
        <w:spacing w:line="380" w:lineRule="exact"/>
        <w:ind w:left="357" w:hanging="357" w:hangingChars="170"/>
        <w:rPr>
          <w:rFonts w:hAnsi="宋体"/>
          <w:u w:val="single"/>
        </w:rPr>
      </w:pPr>
      <w:r>
        <w:rPr>
          <w:rFonts w:hint="eastAsia" w:hAnsi="宋体"/>
        </w:rPr>
        <w:t>5.1 乙方保证所交付的货物的所有权完全属于乙方且无任何抵押、查封等产权瑕疵。如乙方所交货物有产权瑕疵的，视为乙方违约，按照本合同第13条第3款的约定处理。但在已经全部支付完合同款后才发现有产权瑕疵的，除了支付违约金，乙方还应负担由此而产生的一切损失。</w:t>
      </w:r>
    </w:p>
    <w:p>
      <w:pPr>
        <w:pStyle w:val="17"/>
        <w:spacing w:line="380" w:lineRule="exact"/>
        <w:ind w:left="358" w:hanging="358" w:hangingChars="170"/>
        <w:rPr>
          <w:rFonts w:hAnsi="宋体"/>
          <w:b/>
        </w:rPr>
      </w:pPr>
    </w:p>
    <w:p>
      <w:pPr>
        <w:pStyle w:val="17"/>
        <w:spacing w:line="380" w:lineRule="exact"/>
        <w:ind w:left="358" w:hanging="358" w:hangingChars="170"/>
        <w:rPr>
          <w:rFonts w:hAnsi="宋体"/>
          <w:b/>
        </w:rPr>
      </w:pPr>
      <w:r>
        <w:rPr>
          <w:rFonts w:hint="eastAsia" w:hAnsi="宋体"/>
          <w:b/>
        </w:rPr>
        <w:t>六、履约保证金</w:t>
      </w:r>
    </w:p>
    <w:p>
      <w:pPr>
        <w:pStyle w:val="17"/>
        <w:spacing w:line="380" w:lineRule="exact"/>
        <w:ind w:left="357" w:hanging="357" w:hangingChars="170"/>
        <w:rPr>
          <w:rFonts w:hAnsi="宋体"/>
        </w:rPr>
      </w:pPr>
      <w:r>
        <w:rPr>
          <w:rFonts w:hint="eastAsia" w:hAnsi="宋体"/>
        </w:rPr>
        <w:t>6.1乙方交纳人民币</w:t>
      </w:r>
      <w:r>
        <w:rPr>
          <w:rFonts w:hint="eastAsia" w:hAnsi="宋体"/>
          <w:u w:val="single"/>
        </w:rPr>
        <w:t>　　　　　　</w:t>
      </w:r>
      <w:r>
        <w:rPr>
          <w:rFonts w:hint="eastAsia" w:hAnsi="宋体"/>
        </w:rPr>
        <w:t>元作为本合同的履约保证金。</w:t>
      </w:r>
    </w:p>
    <w:p>
      <w:pPr>
        <w:pStyle w:val="17"/>
        <w:spacing w:line="380" w:lineRule="exact"/>
        <w:ind w:left="357" w:hanging="357" w:hangingChars="170"/>
        <w:rPr>
          <w:rFonts w:hAnsi="宋体"/>
        </w:rPr>
      </w:pPr>
      <w:r>
        <w:rPr>
          <w:rFonts w:hint="eastAsia" w:hAnsi="宋体"/>
        </w:rPr>
        <w:t>6.2 履约保证金作为违约金的一部分及用于补偿甲方因乙方不能完成其合同义务而蒙受的损失。</w:t>
      </w:r>
    </w:p>
    <w:p>
      <w:pPr>
        <w:pStyle w:val="17"/>
        <w:spacing w:line="380" w:lineRule="exact"/>
        <w:rPr>
          <w:rFonts w:hAnsi="宋体"/>
        </w:rPr>
      </w:pPr>
    </w:p>
    <w:p>
      <w:pPr>
        <w:pStyle w:val="17"/>
        <w:spacing w:line="380" w:lineRule="exact"/>
        <w:rPr>
          <w:rFonts w:hAnsi="宋体"/>
        </w:rPr>
      </w:pPr>
      <w:r>
        <w:rPr>
          <w:rFonts w:hint="eastAsia" w:hAnsi="宋体"/>
          <w:b/>
        </w:rPr>
        <w:t>七、质保期和质保金</w:t>
      </w:r>
    </w:p>
    <w:p>
      <w:pPr>
        <w:pStyle w:val="17"/>
        <w:spacing w:line="380" w:lineRule="exact"/>
        <w:ind w:left="359" w:hanging="359" w:hangingChars="171"/>
        <w:rPr>
          <w:rFonts w:hAnsi="宋体"/>
        </w:rPr>
      </w:pPr>
      <w:r>
        <w:rPr>
          <w:rFonts w:hint="eastAsia" w:hAnsi="宋体"/>
        </w:rPr>
        <w:t>7.1 质保期</w:t>
      </w:r>
      <w:r>
        <w:rPr>
          <w:rFonts w:hint="eastAsia" w:hAnsi="宋体"/>
          <w:u w:val="single"/>
        </w:rPr>
        <w:t xml:space="preserve">                                  </w:t>
      </w:r>
      <w:r>
        <w:rPr>
          <w:rFonts w:hint="eastAsia" w:hAnsi="宋体"/>
        </w:rPr>
        <w:t>年（自交货验收合格之日起计）。</w:t>
      </w:r>
    </w:p>
    <w:p>
      <w:pPr>
        <w:pStyle w:val="17"/>
        <w:spacing w:line="380" w:lineRule="exact"/>
        <w:ind w:left="359" w:hanging="359" w:hangingChars="171"/>
        <w:rPr>
          <w:rFonts w:hAnsi="宋体"/>
        </w:rPr>
      </w:pPr>
      <w:r>
        <w:rPr>
          <w:rFonts w:hint="eastAsia" w:hAnsi="宋体"/>
        </w:rPr>
        <w:t>7.2 质保金</w:t>
      </w:r>
      <w:r>
        <w:rPr>
          <w:rFonts w:hint="eastAsia" w:hAnsi="宋体"/>
          <w:u w:val="single"/>
        </w:rPr>
        <w:t xml:space="preserve">                                  </w:t>
      </w:r>
      <w:r>
        <w:rPr>
          <w:rFonts w:hint="eastAsia" w:hAnsi="宋体"/>
        </w:rPr>
        <w:t>。</w:t>
      </w:r>
    </w:p>
    <w:p>
      <w:pPr>
        <w:pStyle w:val="17"/>
        <w:spacing w:line="380" w:lineRule="exact"/>
        <w:rPr>
          <w:rFonts w:hAnsi="宋体"/>
        </w:rPr>
      </w:pPr>
    </w:p>
    <w:p>
      <w:pPr>
        <w:pStyle w:val="17"/>
        <w:spacing w:line="380" w:lineRule="exact"/>
        <w:rPr>
          <w:rFonts w:hAnsi="宋体"/>
          <w:b/>
        </w:rPr>
      </w:pPr>
      <w:r>
        <w:rPr>
          <w:rFonts w:hint="eastAsia" w:hAnsi="宋体"/>
          <w:b/>
        </w:rPr>
        <w:t>八、交货期、交货方式及交货地点</w:t>
      </w:r>
    </w:p>
    <w:p>
      <w:pPr>
        <w:pStyle w:val="17"/>
        <w:spacing w:line="380" w:lineRule="exact"/>
        <w:rPr>
          <w:rFonts w:hAnsi="宋体"/>
          <w:bCs/>
        </w:rPr>
      </w:pPr>
      <w:r>
        <w:rPr>
          <w:rFonts w:hint="eastAsia" w:hAnsi="宋体"/>
          <w:bCs/>
        </w:rPr>
        <w:t>8.1 交货期：         。</w:t>
      </w:r>
    </w:p>
    <w:p>
      <w:pPr>
        <w:pStyle w:val="17"/>
        <w:spacing w:line="380" w:lineRule="exact"/>
        <w:rPr>
          <w:rFonts w:hAnsi="宋体"/>
          <w:bCs/>
        </w:rPr>
      </w:pPr>
      <w:r>
        <w:rPr>
          <w:rFonts w:hint="eastAsia" w:hAnsi="宋体"/>
          <w:bCs/>
        </w:rPr>
        <w:t>8.2 交货方式：       。</w:t>
      </w:r>
    </w:p>
    <w:p>
      <w:pPr>
        <w:pStyle w:val="17"/>
        <w:spacing w:line="380" w:lineRule="exact"/>
        <w:rPr>
          <w:rFonts w:hAnsi="宋体"/>
          <w:b/>
        </w:rPr>
      </w:pPr>
      <w:r>
        <w:rPr>
          <w:rFonts w:hint="eastAsia" w:hAnsi="宋体"/>
          <w:bCs/>
        </w:rPr>
        <w:t>8.3 交货地点：       。</w:t>
      </w:r>
    </w:p>
    <w:p>
      <w:pPr>
        <w:pStyle w:val="17"/>
        <w:spacing w:line="380" w:lineRule="exact"/>
        <w:rPr>
          <w:rFonts w:hAnsi="宋体"/>
          <w:b/>
        </w:rPr>
      </w:pPr>
    </w:p>
    <w:p>
      <w:pPr>
        <w:pStyle w:val="17"/>
        <w:spacing w:line="380" w:lineRule="exact"/>
        <w:rPr>
          <w:rFonts w:hAnsi="宋体"/>
          <w:b/>
        </w:rPr>
      </w:pPr>
      <w:r>
        <w:rPr>
          <w:rFonts w:hint="eastAsia" w:hAnsi="宋体"/>
          <w:b/>
        </w:rPr>
        <w:t>九、合同款支付</w:t>
      </w:r>
    </w:p>
    <w:p>
      <w:pPr>
        <w:pStyle w:val="17"/>
        <w:spacing w:line="380" w:lineRule="exact"/>
        <w:rPr>
          <w:rFonts w:hAnsi="宋体"/>
          <w:bCs/>
        </w:rPr>
      </w:pPr>
      <w:r>
        <w:rPr>
          <w:rFonts w:hint="eastAsia" w:hAnsi="宋体"/>
          <w:bCs/>
        </w:rPr>
        <w:t>9.1 付款方式：</w:t>
      </w:r>
    </w:p>
    <w:p>
      <w:pPr>
        <w:pStyle w:val="17"/>
        <w:spacing w:line="380" w:lineRule="exact"/>
        <w:ind w:left="420" w:hanging="420" w:hangingChars="200"/>
        <w:rPr>
          <w:rFonts w:hAnsi="宋体"/>
          <w:bCs/>
        </w:rPr>
      </w:pPr>
      <w:r>
        <w:rPr>
          <w:rFonts w:hint="eastAsia" w:hAnsi="宋体"/>
          <w:bCs/>
        </w:rPr>
        <w:t>9.2</w:t>
      </w:r>
      <w:r>
        <w:rPr>
          <w:rFonts w:hint="eastAsia" w:hAnsi="宋体"/>
        </w:rPr>
        <w:t>当采购数量与实际使用数量不一致时，采购人应报经财政部门审核同意后，</w:t>
      </w:r>
      <w:r>
        <w:rPr>
          <w:rFonts w:hint="eastAsia" w:hAnsi="宋体"/>
          <w:szCs w:val="21"/>
        </w:rPr>
        <w:t>在不改变合同其他条款的前提下，可以与供应商协商签订补充合同，但所有补充合同的采购金额不得超过原合同采购金额的百分之十，</w:t>
      </w:r>
      <w:r>
        <w:rPr>
          <w:rFonts w:hint="eastAsia" w:hAnsi="宋体"/>
        </w:rPr>
        <w:t>供应商应根据实际使用量供货，合同的最终结算金额按实际使用量乘以成交单价进行计算。</w:t>
      </w:r>
    </w:p>
    <w:p>
      <w:pPr>
        <w:pStyle w:val="17"/>
        <w:spacing w:line="380" w:lineRule="exact"/>
        <w:ind w:left="359" w:hanging="359" w:hangingChars="171"/>
        <w:rPr>
          <w:rFonts w:hAnsi="宋体"/>
          <w:bCs/>
        </w:rPr>
      </w:pPr>
      <w:r>
        <w:rPr>
          <w:rFonts w:hint="eastAsia" w:hAnsi="宋体"/>
          <w:bCs/>
        </w:rPr>
        <w:t>9.3 政府</w:t>
      </w:r>
      <w:r>
        <w:rPr>
          <w:rFonts w:hint="eastAsia" w:hAnsi="宋体"/>
        </w:rPr>
        <w:t>采购过程中</w:t>
      </w:r>
      <w:r>
        <w:rPr>
          <w:rFonts w:hint="eastAsia" w:hAnsi="宋体"/>
          <w:bCs/>
        </w:rPr>
        <w:t>，如采购人、供应商或连云港市政府采购中心存在违法行为，在政府采购管理部门调查期间、被行政处罚期间，政府采购管理部门可视情况书面通知采购人暂停采购活动，并延期通知国库支付中心支付合同款。</w:t>
      </w:r>
    </w:p>
    <w:p>
      <w:pPr>
        <w:pStyle w:val="17"/>
        <w:spacing w:line="380" w:lineRule="exact"/>
        <w:ind w:left="359" w:hanging="359" w:hangingChars="171"/>
        <w:rPr>
          <w:rFonts w:hAnsi="宋体"/>
          <w:bCs/>
        </w:rPr>
      </w:pPr>
    </w:p>
    <w:p>
      <w:pPr>
        <w:pStyle w:val="17"/>
        <w:spacing w:line="380" w:lineRule="exact"/>
        <w:ind w:left="360" w:hanging="361" w:hangingChars="171"/>
        <w:rPr>
          <w:rFonts w:hAnsi="宋体"/>
        </w:rPr>
      </w:pPr>
      <w:r>
        <w:rPr>
          <w:rFonts w:hint="eastAsia" w:hAnsi="宋体"/>
          <w:b/>
        </w:rPr>
        <w:t>十、质量保证及售后服务</w:t>
      </w:r>
    </w:p>
    <w:p>
      <w:pPr>
        <w:pStyle w:val="17"/>
        <w:spacing w:line="380" w:lineRule="exact"/>
        <w:ind w:left="359" w:hanging="359" w:hangingChars="171"/>
        <w:rPr>
          <w:rFonts w:hAnsi="宋体"/>
        </w:rPr>
      </w:pPr>
      <w:r>
        <w:rPr>
          <w:rFonts w:hint="eastAsia" w:hAnsi="宋体"/>
        </w:rPr>
        <w:t>10.1 乙方应按采购文件规定的货物性能、技术要求、质量标准向甲方提供未经使用的全新产品。</w:t>
      </w:r>
    </w:p>
    <w:p>
      <w:pPr>
        <w:pStyle w:val="17"/>
        <w:spacing w:line="380" w:lineRule="exact"/>
        <w:ind w:left="420" w:hanging="420" w:hangingChars="200"/>
        <w:rPr>
          <w:rFonts w:hAnsi="宋体"/>
        </w:rPr>
      </w:pPr>
      <w:r>
        <w:rPr>
          <w:rFonts w:hint="eastAsia" w:hAnsi="宋体"/>
        </w:rPr>
        <w:t>10.2 乙方提供的货物在质保期内因货物本身的质量问题发生故障，乙方应负责免费更换。对达不到技术要求者，根据实际情况，经双方协商，可按以下办法处理：</w:t>
      </w:r>
    </w:p>
    <w:p>
      <w:pPr>
        <w:pStyle w:val="17"/>
        <w:spacing w:line="380" w:lineRule="exact"/>
        <w:ind w:firstLine="420"/>
        <w:rPr>
          <w:rFonts w:hAnsi="宋体"/>
        </w:rPr>
      </w:pPr>
      <w:r>
        <w:rPr>
          <w:rFonts w:hint="eastAsia" w:hAnsi="宋体"/>
        </w:rPr>
        <w:t>⑴更换：由乙方承担所发生的全部费用。</w:t>
      </w:r>
    </w:p>
    <w:p>
      <w:pPr>
        <w:pStyle w:val="17"/>
        <w:spacing w:line="380" w:lineRule="exact"/>
        <w:ind w:firstLine="420"/>
        <w:rPr>
          <w:rFonts w:hAnsi="宋体"/>
        </w:rPr>
      </w:pPr>
      <w:r>
        <w:rPr>
          <w:rFonts w:hint="eastAsia" w:hAnsi="宋体"/>
        </w:rPr>
        <w:t>⑵贬值处理：由甲乙双方合议定价。</w:t>
      </w:r>
    </w:p>
    <w:p>
      <w:pPr>
        <w:pStyle w:val="17"/>
        <w:spacing w:line="380" w:lineRule="exact"/>
        <w:ind w:left="420" w:leftChars="200"/>
        <w:rPr>
          <w:rFonts w:hAnsi="宋体"/>
        </w:rPr>
      </w:pPr>
      <w:r>
        <w:rPr>
          <w:rFonts w:hint="eastAsia" w:hAnsi="宋体"/>
        </w:rPr>
        <w:t>⑶退货处理：乙方应退还甲方支付的合同款，同时应承担该货物的直接费用（运输、保险、检验、合同款利息及银行手续费等）。</w:t>
      </w:r>
    </w:p>
    <w:p>
      <w:pPr>
        <w:pStyle w:val="17"/>
        <w:spacing w:line="380" w:lineRule="exact"/>
        <w:ind w:left="420" w:hanging="420" w:hangingChars="200"/>
        <w:rPr>
          <w:rFonts w:hAnsi="宋体"/>
        </w:rPr>
      </w:pPr>
      <w:r>
        <w:rPr>
          <w:rFonts w:hint="eastAsia" w:hAnsi="宋体"/>
        </w:rPr>
        <w:t>10.3 测试要求：乙方安装后现场测试，提供测试报告，甲方验收签字确认。</w:t>
      </w:r>
    </w:p>
    <w:p>
      <w:pPr>
        <w:pStyle w:val="17"/>
        <w:spacing w:line="380" w:lineRule="exact"/>
        <w:rPr>
          <w:rFonts w:hAnsi="宋体"/>
          <w:b/>
        </w:rPr>
      </w:pPr>
      <w:r>
        <w:rPr>
          <w:rFonts w:hint="eastAsia" w:hAnsi="宋体"/>
          <w:b/>
        </w:rPr>
        <w:t>十一、调试和验收</w:t>
      </w:r>
    </w:p>
    <w:p>
      <w:pPr>
        <w:pStyle w:val="17"/>
        <w:spacing w:line="380" w:lineRule="exact"/>
        <w:ind w:left="420" w:hanging="420" w:hangingChars="200"/>
        <w:rPr>
          <w:rFonts w:hAnsi="宋体"/>
        </w:rPr>
      </w:pPr>
      <w:r>
        <w:rPr>
          <w:rFonts w:hint="eastAsia" w:hAnsi="宋体"/>
        </w:rPr>
        <w:t>11.1 甲方对乙方提交的货物依据采购文件上的技术规格要求和国家有关质量标准进行现场初步验收，外观、说明书符合采购文件技术要求的，给予签收，初步验收不合格的不予签收并可立即要求退换。货到后，甲方需在五个工作日内验收。在采购人将所有的货物按采购文件要求和国家标准或行业标准进行检测验收后；发现有其他非故意的损坏或质量问题的由中标供应商立即予以更换，不得拒绝和延误。</w:t>
      </w:r>
    </w:p>
    <w:p>
      <w:pPr>
        <w:pStyle w:val="17"/>
        <w:spacing w:line="380" w:lineRule="exact"/>
        <w:ind w:left="420" w:hanging="420" w:hangingChars="200"/>
        <w:rPr>
          <w:rFonts w:hAnsi="宋体"/>
        </w:rPr>
      </w:pPr>
      <w:r>
        <w:rPr>
          <w:rFonts w:hint="eastAsia" w:hAnsi="宋体"/>
        </w:rPr>
        <w:t>11.2 乙方交货前应对产品作出全面检查和对验收文件进行整理，并列出清单，作为甲方收货验收和使用的技术条件依据，检验的结果应随货物交甲方。</w:t>
      </w:r>
    </w:p>
    <w:p>
      <w:pPr>
        <w:pStyle w:val="17"/>
        <w:spacing w:line="380" w:lineRule="exact"/>
        <w:ind w:left="420" w:hanging="420" w:hangingChars="200"/>
        <w:rPr>
          <w:rFonts w:hAnsi="宋体"/>
          <w:u w:val="single"/>
        </w:rPr>
      </w:pPr>
      <w:r>
        <w:rPr>
          <w:rFonts w:hint="eastAsia" w:hAnsi="宋体"/>
        </w:rPr>
        <w:t>11.3 甲方对乙方提供的货物在使用前进行调试时，乙方需负责安装并培训甲方的使用操作人员，并协助甲方一起调试，直到符合技术要求，甲方才做最终验收。</w:t>
      </w:r>
    </w:p>
    <w:p>
      <w:pPr>
        <w:pStyle w:val="17"/>
        <w:spacing w:line="380" w:lineRule="exact"/>
        <w:ind w:left="420" w:hanging="420" w:hangingChars="200"/>
        <w:rPr>
          <w:rFonts w:hAnsi="宋体"/>
        </w:rPr>
      </w:pPr>
      <w:r>
        <w:rPr>
          <w:rFonts w:hint="eastAsia" w:hAnsi="宋体"/>
        </w:rPr>
        <w:t>11.4 验收时乙方必须在现场，验收完毕后作出验收结果报告；安装调试费用由中标供应商负责。</w:t>
      </w:r>
    </w:p>
    <w:p>
      <w:pPr>
        <w:pStyle w:val="17"/>
        <w:spacing w:line="380" w:lineRule="exact"/>
        <w:ind w:left="420" w:hanging="420" w:hangingChars="200"/>
        <w:rPr>
          <w:rFonts w:hAnsi="宋体"/>
        </w:rPr>
      </w:pPr>
      <w:r>
        <w:rPr>
          <w:rFonts w:hint="eastAsia" w:hAnsi="宋体"/>
        </w:rPr>
        <w:t>11.5 对技术复杂的项目，甲方可向连云港市政府采购中心提出书面申请，由政府采购中心组织有关部门和专家进行验收，并由上述部门和专家出具验收报告，相关费用由甲方承担。</w:t>
      </w:r>
    </w:p>
    <w:p>
      <w:pPr>
        <w:pStyle w:val="17"/>
        <w:spacing w:line="380" w:lineRule="exact"/>
        <w:rPr>
          <w:rFonts w:hAnsi="宋体"/>
          <w:b/>
        </w:rPr>
      </w:pPr>
    </w:p>
    <w:p>
      <w:pPr>
        <w:pStyle w:val="17"/>
        <w:spacing w:line="380" w:lineRule="exact"/>
        <w:rPr>
          <w:rFonts w:hAnsi="宋体"/>
          <w:b/>
        </w:rPr>
      </w:pPr>
      <w:r>
        <w:rPr>
          <w:rFonts w:hint="eastAsia" w:hAnsi="宋体"/>
          <w:b/>
        </w:rPr>
        <w:t>十二、货物包装、发运及运输</w:t>
      </w:r>
    </w:p>
    <w:p>
      <w:pPr>
        <w:pStyle w:val="17"/>
        <w:spacing w:line="380" w:lineRule="exact"/>
        <w:ind w:left="420" w:hanging="420" w:hangingChars="200"/>
        <w:rPr>
          <w:rFonts w:hAnsi="宋体"/>
        </w:rPr>
      </w:pPr>
      <w:r>
        <w:rPr>
          <w:rFonts w:hint="eastAsia" w:hAnsi="宋体"/>
        </w:rPr>
        <w:t>12.1 乙方应在货物发运前对其进行满足运输距离、防潮、防震、防锈和防破损装卸等要求包装，以保证货物安全运达甲方指定地点。</w:t>
      </w:r>
    </w:p>
    <w:p>
      <w:pPr>
        <w:pStyle w:val="17"/>
        <w:spacing w:line="380" w:lineRule="exact"/>
        <w:ind w:left="420" w:hanging="420" w:hangingChars="200"/>
        <w:rPr>
          <w:rFonts w:hAnsi="宋体"/>
        </w:rPr>
      </w:pPr>
      <w:r>
        <w:rPr>
          <w:rFonts w:hint="eastAsia" w:hAnsi="宋体"/>
        </w:rPr>
        <w:t>12.2 使用说明书、质量检验证明书、随配附件和工具以及清单一并附于货物内。</w:t>
      </w:r>
    </w:p>
    <w:p>
      <w:pPr>
        <w:pStyle w:val="17"/>
        <w:spacing w:line="380" w:lineRule="exact"/>
        <w:ind w:left="420" w:hanging="420" w:hangingChars="200"/>
        <w:rPr>
          <w:rFonts w:hAnsi="宋体"/>
        </w:rPr>
      </w:pPr>
      <w:r>
        <w:rPr>
          <w:rFonts w:hint="eastAsia" w:hAnsi="宋体"/>
        </w:rPr>
        <w:t>12.3 乙方在货物发运手续办理完毕后24小时内或货到甲方48小时前通知甲方，以准备接货。</w:t>
      </w:r>
    </w:p>
    <w:p>
      <w:pPr>
        <w:pStyle w:val="17"/>
        <w:spacing w:line="380" w:lineRule="exact"/>
        <w:ind w:left="420" w:hanging="420" w:hangingChars="200"/>
        <w:rPr>
          <w:rFonts w:hAnsi="宋体"/>
        </w:rPr>
      </w:pPr>
      <w:r>
        <w:rPr>
          <w:rFonts w:hint="eastAsia" w:hAnsi="宋体"/>
        </w:rPr>
        <w:t>12.4 货物在交付甲方前发生的风险均由乙方负责。</w:t>
      </w:r>
    </w:p>
    <w:p>
      <w:pPr>
        <w:pStyle w:val="17"/>
        <w:spacing w:line="380" w:lineRule="exact"/>
        <w:ind w:left="420" w:right="26" w:hanging="420" w:hangingChars="200"/>
        <w:rPr>
          <w:rFonts w:hAnsi="宋体"/>
        </w:rPr>
      </w:pPr>
      <w:r>
        <w:rPr>
          <w:rFonts w:hint="eastAsia" w:hAnsi="宋体"/>
        </w:rPr>
        <w:t>12.5 货物在规定的交付期限内由乙方送达甲方指定的地点视为交付，乙方同时需通知甲方货物已送达。</w:t>
      </w:r>
    </w:p>
    <w:p>
      <w:pPr>
        <w:pStyle w:val="17"/>
        <w:spacing w:line="380" w:lineRule="exact"/>
        <w:rPr>
          <w:rFonts w:hAnsi="宋体"/>
          <w:b/>
        </w:rPr>
      </w:pPr>
    </w:p>
    <w:p>
      <w:pPr>
        <w:pStyle w:val="17"/>
        <w:spacing w:line="380" w:lineRule="exact"/>
        <w:rPr>
          <w:rFonts w:hAnsi="宋体"/>
          <w:b/>
        </w:rPr>
      </w:pPr>
      <w:r>
        <w:rPr>
          <w:rFonts w:hint="eastAsia" w:hAnsi="宋体"/>
          <w:b/>
        </w:rPr>
        <w:t>十三、违约责任</w:t>
      </w:r>
    </w:p>
    <w:p>
      <w:pPr>
        <w:pStyle w:val="17"/>
        <w:spacing w:line="400" w:lineRule="exact"/>
        <w:ind w:left="359" w:hanging="359" w:hangingChars="171"/>
        <w:rPr>
          <w:rFonts w:hAnsi="宋体"/>
        </w:rPr>
      </w:pPr>
      <w:r>
        <w:rPr>
          <w:rFonts w:hint="eastAsia" w:hAnsi="宋体"/>
        </w:rPr>
        <w:t>13.1 甲方无正当理由拒收货物的，甲方向乙方偿付拒收合同款总值的百分之五违约金。</w:t>
      </w:r>
    </w:p>
    <w:p>
      <w:pPr>
        <w:pStyle w:val="17"/>
        <w:spacing w:line="400" w:lineRule="exact"/>
        <w:ind w:left="359" w:hanging="359" w:hangingChars="171"/>
        <w:rPr>
          <w:rFonts w:hAnsi="宋体"/>
        </w:rPr>
      </w:pPr>
      <w:r>
        <w:rPr>
          <w:rFonts w:hint="eastAsia" w:hAnsi="宋体"/>
        </w:rPr>
        <w:t>13.2 甲方无故逾期验收和办理合同款支付手续的,甲方应按逾期付款总额每日千分之五向乙方支付违约金。</w:t>
      </w:r>
    </w:p>
    <w:p>
      <w:pPr>
        <w:pStyle w:val="17"/>
        <w:spacing w:line="400" w:lineRule="exact"/>
        <w:ind w:left="359" w:hanging="359" w:hangingChars="171"/>
        <w:rPr>
          <w:rFonts w:hAnsi="宋体"/>
        </w:rPr>
      </w:pPr>
      <w:r>
        <w:rPr>
          <w:rFonts w:hint="eastAsia" w:hAnsi="宋体"/>
        </w:rPr>
        <w:t xml:space="preserve">13.3 乙方逾期交付货物的，乙方应按逾期交货总额每日千分之五向甲方支付违约金，由甲方从待付合同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7"/>
        <w:spacing w:line="380" w:lineRule="exact"/>
        <w:ind w:left="359" w:hanging="359" w:hangingChars="171"/>
        <w:rPr>
          <w:rFonts w:hAnsi="宋体"/>
        </w:rPr>
      </w:pPr>
      <w:r>
        <w:rPr>
          <w:rFonts w:hint="eastAsia" w:hAnsi="宋体"/>
        </w:rPr>
        <w:t>13.4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17"/>
        <w:spacing w:line="380" w:lineRule="exact"/>
        <w:rPr>
          <w:rFonts w:hAnsi="宋体"/>
        </w:rPr>
      </w:pPr>
    </w:p>
    <w:p>
      <w:pPr>
        <w:pStyle w:val="17"/>
        <w:spacing w:line="380" w:lineRule="exact"/>
        <w:rPr>
          <w:rFonts w:hAnsi="宋体"/>
          <w:b/>
        </w:rPr>
      </w:pPr>
      <w:r>
        <w:rPr>
          <w:rFonts w:hint="eastAsia" w:hAnsi="宋体"/>
          <w:b/>
        </w:rPr>
        <w:t>十四、不可抗力事件处理</w:t>
      </w:r>
    </w:p>
    <w:p>
      <w:pPr>
        <w:pStyle w:val="17"/>
        <w:spacing w:line="380" w:lineRule="exact"/>
        <w:ind w:left="420" w:hanging="420" w:hangingChars="200"/>
        <w:rPr>
          <w:rFonts w:hAnsi="宋体"/>
        </w:rPr>
      </w:pPr>
      <w:r>
        <w:rPr>
          <w:rFonts w:hint="eastAsia" w:hAnsi="宋体"/>
        </w:rPr>
        <w:t>14.1 在合同有效期内，任何一方因不可抗力事件导致不能履行合同，则合同履行期可延长，其延长期与不可抗力影响期相同。</w:t>
      </w:r>
    </w:p>
    <w:p>
      <w:pPr>
        <w:pStyle w:val="17"/>
        <w:spacing w:line="380" w:lineRule="exact"/>
        <w:rPr>
          <w:rFonts w:hAnsi="宋体"/>
        </w:rPr>
      </w:pPr>
      <w:r>
        <w:rPr>
          <w:rFonts w:hint="eastAsia" w:hAnsi="宋体"/>
        </w:rPr>
        <w:t>14.2 不可抗力事件发生后，应立即通知对方，并寄送有关权威机构出具的证明。</w:t>
      </w:r>
    </w:p>
    <w:p>
      <w:pPr>
        <w:pStyle w:val="17"/>
        <w:spacing w:line="380" w:lineRule="exact"/>
        <w:rPr>
          <w:rFonts w:hAnsi="宋体"/>
        </w:rPr>
      </w:pPr>
      <w:r>
        <w:rPr>
          <w:rFonts w:hint="eastAsia" w:hAnsi="宋体"/>
        </w:rPr>
        <w:t>14.3 不可抗力事件延续120天以上，双方应通过友好协商，确定是否继续履行合同。</w:t>
      </w:r>
    </w:p>
    <w:p>
      <w:pPr>
        <w:pStyle w:val="17"/>
        <w:spacing w:line="380" w:lineRule="exact"/>
        <w:rPr>
          <w:rFonts w:hAnsi="宋体"/>
        </w:rPr>
      </w:pPr>
    </w:p>
    <w:p>
      <w:pPr>
        <w:pStyle w:val="17"/>
        <w:spacing w:line="380" w:lineRule="exact"/>
        <w:rPr>
          <w:rFonts w:hAnsi="宋体"/>
          <w:b/>
        </w:rPr>
      </w:pPr>
      <w:r>
        <w:rPr>
          <w:rFonts w:hint="eastAsia" w:hAnsi="宋体"/>
          <w:b/>
        </w:rPr>
        <w:t>十五、争议解决</w:t>
      </w:r>
    </w:p>
    <w:p>
      <w:pPr>
        <w:pStyle w:val="17"/>
        <w:spacing w:line="380" w:lineRule="exact"/>
        <w:ind w:left="420" w:hanging="420" w:hangingChars="200"/>
        <w:rPr>
          <w:rFonts w:hAnsi="宋体"/>
        </w:rPr>
      </w:pPr>
      <w:r>
        <w:rPr>
          <w:rFonts w:hint="eastAsia" w:hAnsi="宋体"/>
        </w:rPr>
        <w:t>15.1 双方在执行合同中所发生的一切争议，应通过协商解决。如协商不成，可向合同签订地法院起诉，合同签订地在此约定为连云港市。</w:t>
      </w:r>
    </w:p>
    <w:p>
      <w:pPr>
        <w:pStyle w:val="17"/>
        <w:spacing w:line="380" w:lineRule="exact"/>
        <w:rPr>
          <w:rFonts w:hAnsi="宋体"/>
          <w:b/>
        </w:rPr>
      </w:pPr>
    </w:p>
    <w:p>
      <w:pPr>
        <w:pStyle w:val="17"/>
        <w:spacing w:line="380" w:lineRule="exact"/>
        <w:rPr>
          <w:rFonts w:hAnsi="宋体"/>
          <w:b/>
        </w:rPr>
      </w:pPr>
      <w:r>
        <w:rPr>
          <w:rFonts w:hint="eastAsia" w:hAnsi="宋体"/>
          <w:b/>
        </w:rPr>
        <w:t>十六、合同生效及其它</w:t>
      </w:r>
    </w:p>
    <w:p>
      <w:pPr>
        <w:pStyle w:val="17"/>
        <w:spacing w:line="380" w:lineRule="exact"/>
        <w:rPr>
          <w:rFonts w:hAnsi="宋体"/>
        </w:rPr>
      </w:pPr>
      <w:r>
        <w:rPr>
          <w:rFonts w:hint="eastAsia" w:hAnsi="宋体"/>
        </w:rPr>
        <w:t>16.1 合同经双方法定代表人或授权委托集采人签字并加盖单位公章后生效。</w:t>
      </w:r>
    </w:p>
    <w:p>
      <w:pPr>
        <w:pStyle w:val="17"/>
        <w:spacing w:line="400" w:lineRule="exact"/>
        <w:ind w:left="525" w:hanging="525" w:hangingChars="250"/>
        <w:rPr>
          <w:rFonts w:hAnsi="宋体"/>
        </w:rPr>
      </w:pPr>
      <w:r>
        <w:rPr>
          <w:rFonts w:hint="eastAsia" w:hAnsi="宋体"/>
        </w:rPr>
        <w:t xml:space="preserve">16.2 </w:t>
      </w:r>
      <w:r>
        <w:rPr>
          <w:rFonts w:hint="eastAsia" w:hAnsi="宋体"/>
          <w:szCs w:val="21"/>
        </w:rPr>
        <w:t>合同执行中涉及采购资金和采购内容修改或补充的，须经市财政部门审批、备案，方可作为主合同不可分割的一部分。</w:t>
      </w:r>
    </w:p>
    <w:p>
      <w:pPr>
        <w:pStyle w:val="17"/>
        <w:spacing w:line="380" w:lineRule="exact"/>
        <w:ind w:left="420" w:hanging="420" w:hangingChars="200"/>
        <w:rPr>
          <w:rFonts w:hAnsi="宋体"/>
        </w:rPr>
      </w:pPr>
      <w:r>
        <w:rPr>
          <w:rFonts w:hint="eastAsia" w:hAnsi="宋体"/>
        </w:rPr>
        <w:t>16.3 下述合同附件为本合同不可分割的部分并与本合同具有同等效力：</w:t>
      </w:r>
    </w:p>
    <w:p>
      <w:pPr>
        <w:pStyle w:val="17"/>
        <w:numPr>
          <w:ilvl w:val="0"/>
          <w:numId w:val="2"/>
        </w:numPr>
        <w:spacing w:line="380" w:lineRule="exact"/>
        <w:rPr>
          <w:rFonts w:hAnsi="宋体"/>
        </w:rPr>
      </w:pPr>
      <w:r>
        <w:rPr>
          <w:rFonts w:hint="eastAsia" w:hAnsi="宋体"/>
        </w:rPr>
        <w:t>供货清单和分项价格表</w:t>
      </w:r>
    </w:p>
    <w:p>
      <w:pPr>
        <w:pStyle w:val="17"/>
        <w:numPr>
          <w:ilvl w:val="0"/>
          <w:numId w:val="2"/>
        </w:numPr>
        <w:spacing w:line="380" w:lineRule="exact"/>
        <w:rPr>
          <w:rFonts w:hAnsi="宋体"/>
        </w:rPr>
      </w:pPr>
      <w:r>
        <w:rPr>
          <w:rFonts w:hint="eastAsia" w:hAnsi="宋体"/>
        </w:rPr>
        <w:t>技术规格</w:t>
      </w:r>
    </w:p>
    <w:p>
      <w:pPr>
        <w:pStyle w:val="17"/>
        <w:numPr>
          <w:ilvl w:val="0"/>
          <w:numId w:val="2"/>
        </w:numPr>
        <w:spacing w:line="380" w:lineRule="exact"/>
        <w:rPr>
          <w:rFonts w:hAnsi="宋体"/>
        </w:rPr>
      </w:pPr>
      <w:r>
        <w:rPr>
          <w:rFonts w:hint="eastAsia" w:hAnsi="宋体"/>
        </w:rPr>
        <w:t>乙方报价函的内容及其澄清内容</w:t>
      </w:r>
    </w:p>
    <w:p>
      <w:pPr>
        <w:pStyle w:val="17"/>
        <w:numPr>
          <w:ilvl w:val="0"/>
          <w:numId w:val="2"/>
        </w:numPr>
        <w:spacing w:line="380" w:lineRule="exact"/>
        <w:rPr>
          <w:rFonts w:hAnsi="宋体"/>
        </w:rPr>
      </w:pPr>
      <w:r>
        <w:rPr>
          <w:rFonts w:hint="eastAsia" w:hAnsi="宋体"/>
        </w:rPr>
        <w:t>其他与本合同相关的资料</w:t>
      </w:r>
    </w:p>
    <w:p>
      <w:pPr>
        <w:pStyle w:val="17"/>
        <w:numPr>
          <w:ilvl w:val="0"/>
          <w:numId w:val="2"/>
        </w:numPr>
        <w:spacing w:line="380" w:lineRule="exact"/>
        <w:rPr>
          <w:rFonts w:hAnsi="宋体"/>
        </w:rPr>
      </w:pPr>
      <w:r>
        <w:rPr>
          <w:rFonts w:hint="eastAsia" w:hAnsi="宋体"/>
        </w:rPr>
        <w:t>本合同适用的特殊条款</w:t>
      </w:r>
    </w:p>
    <w:p>
      <w:pPr>
        <w:pStyle w:val="17"/>
        <w:spacing w:line="380" w:lineRule="exact"/>
        <w:ind w:left="420" w:hanging="420" w:hangingChars="200"/>
        <w:rPr>
          <w:rFonts w:hAnsi="宋体"/>
        </w:rPr>
      </w:pPr>
      <w:r>
        <w:rPr>
          <w:rFonts w:hint="eastAsia" w:hAnsi="宋体"/>
        </w:rPr>
        <w:t>16.4 本合同未尽事宜，遵照《合同法》有关条文执行。</w:t>
      </w:r>
    </w:p>
    <w:p>
      <w:pPr>
        <w:pStyle w:val="17"/>
        <w:spacing w:line="380" w:lineRule="exact"/>
        <w:ind w:left="420" w:hanging="420" w:hangingChars="200"/>
        <w:rPr>
          <w:rFonts w:hAnsi="宋体"/>
        </w:rPr>
      </w:pPr>
      <w:r>
        <w:rPr>
          <w:rFonts w:hint="eastAsia" w:hAnsi="宋体"/>
        </w:rPr>
        <w:t>16.5 本合同正本一式四份，具有同等法律效力，甲乙双方、备案方各执一份，连云港市政府采购中心报一份至政府采购监督管理部门。</w:t>
      </w:r>
    </w:p>
    <w:p>
      <w:pPr>
        <w:pStyle w:val="17"/>
        <w:spacing w:line="380" w:lineRule="exact"/>
        <w:ind w:left="420" w:hanging="420" w:hangingChars="200"/>
        <w:rPr>
          <w:rFonts w:hAnsi="宋体"/>
        </w:rPr>
      </w:pPr>
    </w:p>
    <w:p>
      <w:pPr>
        <w:pStyle w:val="17"/>
        <w:spacing w:line="380" w:lineRule="exact"/>
        <w:ind w:firstLine="1890" w:firstLineChars="900"/>
        <w:rPr>
          <w:rFonts w:hAnsi="宋体"/>
        </w:rPr>
      </w:pPr>
      <w:r>
        <w:rPr>
          <w:rFonts w:hint="eastAsia" w:hAnsi="宋体"/>
        </w:rPr>
        <w:t xml:space="preserve">甲方：                           乙方：                       </w:t>
      </w:r>
    </w:p>
    <w:p>
      <w:pPr>
        <w:pStyle w:val="17"/>
        <w:spacing w:line="460" w:lineRule="exact"/>
        <w:rPr>
          <w:rFonts w:hAnsi="宋体"/>
        </w:rPr>
      </w:pPr>
      <w:r>
        <w:rPr>
          <w:rFonts w:hint="eastAsia" w:hAnsi="宋体"/>
        </w:rPr>
        <w:t xml:space="preserve">                  地址：                           地址：                    </w:t>
      </w:r>
    </w:p>
    <w:p>
      <w:pPr>
        <w:pStyle w:val="17"/>
        <w:spacing w:line="460" w:lineRule="exact"/>
        <w:ind w:firstLine="1680" w:firstLineChars="800"/>
        <w:rPr>
          <w:rFonts w:hAnsi="宋体"/>
        </w:rPr>
      </w:pPr>
      <w:r>
        <w:rPr>
          <w:rFonts w:hint="eastAsia" w:hAnsi="宋体"/>
        </w:rPr>
        <w:t xml:space="preserve">  法定代表人：                     法定代表人：                 </w:t>
      </w:r>
    </w:p>
    <w:p>
      <w:pPr>
        <w:pStyle w:val="17"/>
        <w:spacing w:line="460" w:lineRule="exact"/>
        <w:rPr>
          <w:rFonts w:hAnsi="宋体"/>
        </w:rPr>
      </w:pPr>
      <w:r>
        <w:rPr>
          <w:rFonts w:hint="eastAsia" w:hAnsi="宋体"/>
        </w:rPr>
        <w:t xml:space="preserve">                 授权委托集采人：                 授权委托集采人：           </w:t>
      </w:r>
    </w:p>
    <w:p>
      <w:pPr>
        <w:pStyle w:val="17"/>
        <w:spacing w:line="460" w:lineRule="exact"/>
        <w:rPr>
          <w:rFonts w:hAnsi="宋体"/>
        </w:rPr>
      </w:pPr>
      <w:r>
        <w:rPr>
          <w:rFonts w:hint="eastAsia" w:hAnsi="宋体"/>
        </w:rPr>
        <w:t xml:space="preserve">                  电话：                           电话：                       </w:t>
      </w:r>
    </w:p>
    <w:p>
      <w:pPr>
        <w:pStyle w:val="17"/>
        <w:spacing w:line="460" w:lineRule="exact"/>
        <w:rPr>
          <w:rFonts w:hAnsi="宋体"/>
        </w:rPr>
      </w:pPr>
      <w:r>
        <w:rPr>
          <w:rFonts w:hint="eastAsia" w:hAnsi="宋体"/>
        </w:rPr>
        <w:t xml:space="preserve">                  传真：                           传真：                        </w:t>
      </w:r>
    </w:p>
    <w:p>
      <w:pPr>
        <w:pStyle w:val="17"/>
        <w:spacing w:line="460" w:lineRule="exact"/>
        <w:rPr>
          <w:rFonts w:hAnsi="宋体"/>
        </w:rPr>
      </w:pPr>
      <w:r>
        <w:rPr>
          <w:rFonts w:hint="eastAsia" w:hAnsi="宋体"/>
        </w:rPr>
        <w:t xml:space="preserve">                 邮政编码：                       邮政编码：                   </w:t>
      </w:r>
    </w:p>
    <w:p>
      <w:pPr>
        <w:pStyle w:val="17"/>
        <w:spacing w:line="460" w:lineRule="exact"/>
        <w:rPr>
          <w:rFonts w:hAnsi="宋体"/>
        </w:rPr>
      </w:pPr>
      <w:r>
        <w:rPr>
          <w:rFonts w:hint="eastAsia" w:hAnsi="宋体"/>
        </w:rPr>
        <w:t xml:space="preserve">                                                  开户银行：</w:t>
      </w:r>
    </w:p>
    <w:p>
      <w:pPr>
        <w:pStyle w:val="17"/>
        <w:spacing w:line="460" w:lineRule="exact"/>
        <w:rPr>
          <w:rFonts w:hAnsi="宋体"/>
        </w:rPr>
      </w:pPr>
      <w:r>
        <w:rPr>
          <w:rFonts w:hint="eastAsia" w:hAnsi="宋体"/>
        </w:rPr>
        <w:t xml:space="preserve">                                                   账号：</w:t>
      </w:r>
    </w:p>
    <w:p>
      <w:pPr>
        <w:pStyle w:val="17"/>
        <w:spacing w:line="460" w:lineRule="exact"/>
        <w:rPr>
          <w:rFonts w:hAnsi="宋体"/>
        </w:rPr>
      </w:pPr>
    </w:p>
    <w:p>
      <w:pPr>
        <w:pStyle w:val="17"/>
        <w:spacing w:line="460" w:lineRule="exact"/>
        <w:ind w:firstLine="1050" w:firstLineChars="500"/>
        <w:rPr>
          <w:rFonts w:hAnsi="宋体"/>
        </w:rPr>
      </w:pPr>
      <w:r>
        <w:rPr>
          <w:rFonts w:hint="eastAsia" w:hAnsi="宋体"/>
        </w:rPr>
        <w:t>签订地点：连云港市               合同签订日期：      年  月  日</w:t>
      </w:r>
    </w:p>
    <w:p>
      <w:pPr>
        <w:pStyle w:val="17"/>
        <w:ind w:firstLine="210" w:firstLineChars="100"/>
        <w:outlineLvl w:val="0"/>
        <w:rPr>
          <w:rFonts w:hAnsi="宋体"/>
        </w:rPr>
      </w:pPr>
    </w:p>
    <w:p>
      <w:pPr>
        <w:pStyle w:val="17"/>
        <w:ind w:firstLine="210" w:firstLineChars="100"/>
        <w:outlineLvl w:val="0"/>
        <w:rPr>
          <w:rFonts w:hAnsi="宋体"/>
        </w:rPr>
      </w:pPr>
    </w:p>
    <w:p>
      <w:pPr>
        <w:pStyle w:val="17"/>
        <w:spacing w:line="480" w:lineRule="auto"/>
        <w:ind w:firstLine="1260" w:firstLineChars="600"/>
        <w:outlineLvl w:val="0"/>
        <w:rPr>
          <w:rFonts w:hAnsi="宋体"/>
        </w:rPr>
      </w:pPr>
      <w:r>
        <w:rPr>
          <w:rFonts w:hint="eastAsia" w:hAnsi="宋体"/>
        </w:rPr>
        <w:t xml:space="preserve">备案方：连云港市政府采购中心 </w:t>
      </w:r>
    </w:p>
    <w:p>
      <w:pPr>
        <w:pStyle w:val="17"/>
        <w:spacing w:line="480" w:lineRule="auto"/>
        <w:ind w:firstLine="1260" w:firstLineChars="600"/>
        <w:rPr>
          <w:rFonts w:hAnsi="宋体"/>
        </w:rPr>
      </w:pPr>
      <w:r>
        <w:rPr>
          <w:rFonts w:hint="eastAsia" w:hAnsi="宋体"/>
        </w:rPr>
        <w:t>合同备案日期：      年  月  日</w:t>
      </w:r>
    </w:p>
    <w:p>
      <w:pPr>
        <w:pStyle w:val="17"/>
        <w:ind w:firstLine="1260" w:firstLineChars="600"/>
        <w:jc w:val="center"/>
        <w:outlineLvl w:val="0"/>
        <w:rPr>
          <w:rFonts w:hAnsi="宋体"/>
          <w:b/>
          <w:sz w:val="36"/>
        </w:rPr>
      </w:pPr>
      <w:r>
        <w:rPr>
          <w:rFonts w:hAnsi="宋体"/>
        </w:rPr>
        <w:br w:type="page"/>
      </w:r>
      <w:bookmarkStart w:id="7" w:name="_Toc139966428"/>
      <w:bookmarkStart w:id="8" w:name="_Toc139967212"/>
      <w:bookmarkStart w:id="9" w:name="_Toc494123934"/>
      <w:r>
        <w:rPr>
          <w:rFonts w:hint="eastAsia" w:hAnsi="宋体"/>
          <w:b/>
          <w:sz w:val="36"/>
        </w:rPr>
        <w:t>第四章  投标文件格式</w:t>
      </w:r>
      <w:bookmarkEnd w:id="7"/>
      <w:bookmarkEnd w:id="8"/>
      <w:bookmarkEnd w:id="9"/>
    </w:p>
    <w:p>
      <w:pPr>
        <w:jc w:val="center"/>
        <w:rPr>
          <w:rFonts w:ascii="宋体" w:hAnsi="宋体"/>
          <w:b/>
          <w:color w:val="FF0000"/>
          <w:sz w:val="52"/>
          <w:szCs w:val="52"/>
        </w:rPr>
      </w:pPr>
    </w:p>
    <w:p>
      <w:pPr>
        <w:jc w:val="center"/>
        <w:rPr>
          <w:rFonts w:ascii="宋体" w:hAnsi="宋体"/>
          <w:b/>
          <w:sz w:val="52"/>
          <w:szCs w:val="52"/>
        </w:rPr>
      </w:pPr>
      <w:r>
        <w:rPr>
          <w:rFonts w:hint="eastAsia" w:ascii="宋体" w:hAnsi="宋体"/>
          <w:b/>
          <w:sz w:val="52"/>
          <w:szCs w:val="52"/>
        </w:rPr>
        <w:t>连 云 港 市 政 府 采 购</w:t>
      </w:r>
    </w:p>
    <w:p>
      <w:pPr>
        <w:jc w:val="center"/>
        <w:rPr>
          <w:rFonts w:ascii="宋体" w:hAnsi="宋体"/>
          <w:b/>
          <w:sz w:val="72"/>
          <w:szCs w:val="21"/>
        </w:rPr>
      </w:pPr>
      <w:r>
        <w:rPr>
          <w:rFonts w:hint="eastAsia" w:ascii="宋体" w:hAnsi="宋体"/>
          <w:b/>
          <w:sz w:val="72"/>
          <w:szCs w:val="21"/>
        </w:rPr>
        <w:t>投标文件</w:t>
      </w:r>
    </w:p>
    <w:p>
      <w:pPr>
        <w:jc w:val="center"/>
        <w:rPr>
          <w:rFonts w:ascii="宋体" w:hAnsi="宋体"/>
          <w:b/>
          <w:sz w:val="32"/>
          <w:szCs w:val="32"/>
        </w:rPr>
      </w:pPr>
    </w:p>
    <w:p>
      <w:pPr>
        <w:jc w:val="center"/>
        <w:rPr>
          <w:rFonts w:ascii="宋体" w:hAnsi="宋体"/>
          <w:b/>
          <w:sz w:val="32"/>
          <w:szCs w:val="32"/>
        </w:rPr>
      </w:pPr>
      <w:r>
        <w:rPr>
          <w:rFonts w:hint="eastAsia" w:ascii="宋体" w:hAnsi="宋体"/>
          <w:b/>
          <w:sz w:val="32"/>
          <w:szCs w:val="32"/>
        </w:rPr>
        <w:t>(报价/资格审查/商务技术)文件</w:t>
      </w:r>
    </w:p>
    <w:p>
      <w:pPr>
        <w:pStyle w:val="82"/>
        <w:ind w:firstLine="0"/>
        <w:jc w:val="center"/>
        <w:rPr>
          <w:rFonts w:ascii="宋体" w:hAnsi="宋体"/>
          <w:b/>
          <w:bCs/>
          <w:sz w:val="32"/>
        </w:rPr>
      </w:pPr>
    </w:p>
    <w:p>
      <w:pPr>
        <w:ind w:firstLine="1084" w:firstLineChars="300"/>
        <w:jc w:val="center"/>
        <w:rPr>
          <w:rFonts w:ascii="宋体" w:hAnsi="宋体"/>
          <w:b/>
          <w:sz w:val="36"/>
          <w:szCs w:val="21"/>
        </w:rPr>
      </w:pPr>
      <w:r>
        <w:rPr>
          <w:rFonts w:hint="eastAsia" w:ascii="宋体" w:hAnsi="宋体"/>
          <w:b/>
          <w:sz w:val="36"/>
          <w:szCs w:val="21"/>
        </w:rPr>
        <w:t>（正/副本）</w:t>
      </w:r>
    </w:p>
    <w:p>
      <w:pPr>
        <w:ind w:firstLine="1084" w:firstLineChars="300"/>
        <w:rPr>
          <w:rFonts w:ascii="宋体" w:hAnsi="宋体"/>
          <w:b/>
          <w:sz w:val="36"/>
          <w:szCs w:val="21"/>
        </w:rPr>
      </w:pPr>
    </w:p>
    <w:p>
      <w:pPr>
        <w:ind w:firstLine="1084" w:firstLineChars="300"/>
        <w:rPr>
          <w:rFonts w:ascii="宋体" w:hAnsi="宋体"/>
          <w:b/>
          <w:sz w:val="36"/>
          <w:szCs w:val="21"/>
        </w:rPr>
      </w:pPr>
    </w:p>
    <w:p>
      <w:pPr>
        <w:ind w:firstLine="1084" w:firstLineChars="300"/>
        <w:rPr>
          <w:rFonts w:ascii="宋体" w:hAnsi="宋体"/>
          <w:b/>
          <w:sz w:val="36"/>
        </w:rPr>
      </w:pPr>
      <w:r>
        <w:rPr>
          <w:rFonts w:hint="eastAsia" w:ascii="宋体" w:hAnsi="宋体"/>
          <w:b/>
          <w:sz w:val="36"/>
        </w:rPr>
        <w:t>项 目 名 称：</w:t>
      </w:r>
      <w:r>
        <w:rPr>
          <w:rFonts w:hint="eastAsia" w:ascii="宋体" w:hAnsi="宋体"/>
          <w:b/>
          <w:sz w:val="24"/>
        </w:rPr>
        <w:t>【项目名称】</w:t>
      </w:r>
    </w:p>
    <w:p>
      <w:pPr>
        <w:ind w:firstLine="1084" w:firstLineChars="300"/>
        <w:rPr>
          <w:rFonts w:ascii="宋体" w:hAnsi="宋体"/>
          <w:b/>
          <w:sz w:val="36"/>
          <w:u w:val="single"/>
        </w:rPr>
      </w:pPr>
      <w:r>
        <w:rPr>
          <w:rFonts w:hint="eastAsia" w:ascii="宋体" w:hAnsi="宋体"/>
          <w:b/>
          <w:sz w:val="36"/>
        </w:rPr>
        <w:t>项 目 编 号：</w:t>
      </w:r>
      <w:r>
        <w:rPr>
          <w:rFonts w:ascii="宋体" w:hAnsi="宋体"/>
          <w:b/>
          <w:sz w:val="24"/>
        </w:rPr>
        <w:t>【项目编号】</w:t>
      </w:r>
    </w:p>
    <w:p>
      <w:pPr>
        <w:ind w:firstLine="1084" w:firstLineChars="300"/>
        <w:rPr>
          <w:rFonts w:ascii="宋体" w:hAnsi="宋体"/>
          <w:b/>
          <w:sz w:val="36"/>
        </w:rPr>
      </w:pPr>
    </w:p>
    <w:p>
      <w:pPr>
        <w:ind w:firstLine="1084" w:firstLineChars="300"/>
        <w:rPr>
          <w:rFonts w:ascii="宋体" w:hAnsi="宋体"/>
          <w:b/>
          <w:sz w:val="36"/>
        </w:rPr>
      </w:pPr>
      <w:r>
        <w:rPr>
          <w:rFonts w:hint="eastAsia" w:ascii="宋体" w:hAnsi="宋体"/>
          <w:b/>
          <w:sz w:val="36"/>
        </w:rPr>
        <w:t>投标人名称：</w:t>
      </w:r>
    </w:p>
    <w:p>
      <w:pPr>
        <w:ind w:firstLine="1084" w:firstLineChars="300"/>
        <w:rPr>
          <w:rFonts w:ascii="宋体" w:hAnsi="宋体"/>
          <w:b/>
          <w:sz w:val="36"/>
        </w:rPr>
      </w:pPr>
      <w:r>
        <w:rPr>
          <w:rFonts w:hint="eastAsia" w:ascii="宋体" w:hAnsi="宋体"/>
          <w:b/>
          <w:sz w:val="36"/>
        </w:rPr>
        <w:t xml:space="preserve">投标人地址： </w:t>
      </w:r>
    </w:p>
    <w:p>
      <w:pPr>
        <w:ind w:firstLine="1084" w:firstLineChars="300"/>
        <w:rPr>
          <w:rFonts w:ascii="宋体" w:hAnsi="宋体"/>
          <w:b/>
          <w:sz w:val="36"/>
        </w:rPr>
      </w:pPr>
      <w:r>
        <w:rPr>
          <w:rFonts w:hint="eastAsia" w:ascii="宋体" w:hAnsi="宋体"/>
          <w:b/>
          <w:sz w:val="36"/>
        </w:rPr>
        <w:t>法定代表人：</w:t>
      </w:r>
    </w:p>
    <w:p>
      <w:pPr>
        <w:ind w:firstLine="1084" w:firstLineChars="300"/>
        <w:rPr>
          <w:rFonts w:ascii="宋体" w:hAnsi="宋体"/>
          <w:b/>
          <w:sz w:val="36"/>
        </w:rPr>
      </w:pPr>
      <w:r>
        <w:rPr>
          <w:rFonts w:hint="eastAsia" w:ascii="宋体" w:hAnsi="宋体"/>
          <w:b/>
          <w:sz w:val="36"/>
        </w:rPr>
        <w:t xml:space="preserve">委托集采人（委托集采时填写）：              </w:t>
      </w:r>
    </w:p>
    <w:p>
      <w:pPr>
        <w:rPr>
          <w:rFonts w:ascii="宋体" w:hAnsi="宋体"/>
          <w:b/>
          <w:sz w:val="36"/>
        </w:rPr>
      </w:pPr>
      <w:r>
        <w:rPr>
          <w:rFonts w:hint="eastAsia" w:ascii="宋体" w:hAnsi="宋体"/>
          <w:b/>
          <w:sz w:val="36"/>
        </w:rPr>
        <w:t xml:space="preserve">      日      期：</w:t>
      </w:r>
    </w:p>
    <w:p>
      <w:pPr>
        <w:pStyle w:val="26"/>
        <w:jc w:val="left"/>
        <w:rPr>
          <w:rFonts w:ascii="宋体" w:hAnsi="宋体"/>
          <w:sz w:val="21"/>
          <w:szCs w:val="21"/>
        </w:rPr>
      </w:pPr>
      <w:r>
        <w:rPr>
          <w:rFonts w:ascii="宋体" w:hAnsi="宋体"/>
          <w:sz w:val="36"/>
        </w:rPr>
        <w:br w:type="page"/>
      </w:r>
      <w:r>
        <w:rPr>
          <w:rFonts w:hint="eastAsia" w:ascii="宋体" w:hAnsi="宋体"/>
          <w:sz w:val="21"/>
          <w:szCs w:val="21"/>
        </w:rPr>
        <w:t>格式1：投标函</w:t>
      </w:r>
    </w:p>
    <w:p>
      <w:pPr>
        <w:pStyle w:val="17"/>
        <w:spacing w:line="500" w:lineRule="exact"/>
        <w:ind w:firstLine="3534" w:firstLineChars="1100"/>
        <w:rPr>
          <w:rFonts w:hAnsi="宋体"/>
          <w:b/>
          <w:bCs/>
          <w:sz w:val="32"/>
        </w:rPr>
      </w:pPr>
      <w:r>
        <w:rPr>
          <w:rFonts w:hint="eastAsia" w:hAnsi="宋体"/>
          <w:b/>
          <w:bCs/>
          <w:sz w:val="32"/>
        </w:rPr>
        <w:t>投标函（格式）</w:t>
      </w:r>
    </w:p>
    <w:p>
      <w:pPr>
        <w:pStyle w:val="17"/>
        <w:spacing w:line="500" w:lineRule="exact"/>
        <w:rPr>
          <w:rFonts w:hAnsi="宋体"/>
          <w:sz w:val="32"/>
        </w:rPr>
      </w:pPr>
    </w:p>
    <w:p>
      <w:pPr>
        <w:pStyle w:val="17"/>
        <w:spacing w:line="380" w:lineRule="exact"/>
        <w:ind w:firstLine="482"/>
        <w:rPr>
          <w:rFonts w:hAnsi="宋体"/>
        </w:rPr>
      </w:pPr>
      <w:r>
        <w:rPr>
          <w:rFonts w:hint="eastAsia" w:hAnsi="宋体"/>
        </w:rPr>
        <w:t>致：连云港市政府采购中心</w:t>
      </w:r>
    </w:p>
    <w:p>
      <w:pPr>
        <w:pStyle w:val="17"/>
        <w:spacing w:line="380" w:lineRule="exact"/>
        <w:ind w:firstLine="482"/>
        <w:rPr>
          <w:rFonts w:hAnsi="宋体"/>
        </w:rPr>
      </w:pPr>
      <w:r>
        <w:rPr>
          <w:rFonts w:hint="eastAsia" w:hAnsi="宋体"/>
        </w:rPr>
        <w:t>根据贵方</w:t>
      </w:r>
      <w:r>
        <w:rPr>
          <w:rFonts w:hint="eastAsia" w:hAnsi="宋体"/>
          <w:u w:val="single"/>
        </w:rPr>
        <w:t xml:space="preserve">       </w:t>
      </w:r>
      <w:r>
        <w:rPr>
          <w:rFonts w:hint="eastAsia" w:hAnsi="宋体"/>
        </w:rPr>
        <w:t>项目（项目编号：</w:t>
      </w:r>
      <w:r>
        <w:rPr>
          <w:rFonts w:hint="eastAsia" w:hAnsi="宋体"/>
          <w:u w:val="single"/>
        </w:rPr>
        <w:t xml:space="preserve">               </w:t>
      </w:r>
      <w:r>
        <w:rPr>
          <w:rFonts w:hint="eastAsia" w:hAnsi="宋体"/>
        </w:rPr>
        <w:t>），正式授权下述签字人</w:t>
      </w:r>
      <w:r>
        <w:rPr>
          <w:rFonts w:hint="eastAsia" w:hAnsi="宋体"/>
          <w:u w:val="single"/>
        </w:rPr>
        <w:t xml:space="preserve">          </w:t>
      </w:r>
      <w:r>
        <w:rPr>
          <w:rFonts w:hint="eastAsia" w:hAnsi="宋体"/>
        </w:rPr>
        <w:t>全权代表投标人</w:t>
      </w:r>
      <w:r>
        <w:rPr>
          <w:rFonts w:hint="eastAsia" w:hAnsi="宋体"/>
          <w:u w:val="single"/>
        </w:rPr>
        <w:t xml:space="preserve"> </w:t>
      </w:r>
      <w:r>
        <w:rPr>
          <w:rFonts w:hint="eastAsia" w:hAnsi="宋体"/>
        </w:rPr>
        <w:t>参加贵方组织的有关采购活动，并提交下述文件。</w:t>
      </w:r>
    </w:p>
    <w:p>
      <w:pPr>
        <w:pStyle w:val="17"/>
        <w:spacing w:line="320" w:lineRule="exact"/>
        <w:ind w:firstLine="482"/>
        <w:rPr>
          <w:rFonts w:hAnsi="宋体"/>
        </w:rPr>
      </w:pPr>
      <w:r>
        <w:rPr>
          <w:rFonts w:hint="eastAsia" w:hAnsi="宋体"/>
        </w:rPr>
        <w:t>一、报价文件正本一份，副本</w:t>
      </w:r>
      <w:r>
        <w:rPr>
          <w:rFonts w:hint="eastAsia" w:hAnsi="宋体"/>
          <w:u w:val="single"/>
        </w:rPr>
        <w:t xml:space="preserve">   </w:t>
      </w:r>
      <w:r>
        <w:rPr>
          <w:rFonts w:hint="eastAsia" w:hAnsi="宋体"/>
        </w:rPr>
        <w:t>份（投标人须知第14.1.1条要求投标人提交的全部文件）</w:t>
      </w:r>
    </w:p>
    <w:p>
      <w:pPr>
        <w:pStyle w:val="17"/>
        <w:spacing w:line="320" w:lineRule="exact"/>
        <w:ind w:firstLine="482"/>
        <w:rPr>
          <w:rFonts w:hAnsi="宋体"/>
        </w:rPr>
      </w:pPr>
      <w:r>
        <w:rPr>
          <w:rFonts w:hint="eastAsia" w:hAnsi="宋体"/>
        </w:rPr>
        <w:t>二、资格审查文件正本一份，副本</w:t>
      </w:r>
      <w:r>
        <w:rPr>
          <w:rFonts w:hint="eastAsia" w:hAnsi="宋体"/>
          <w:u w:val="single"/>
        </w:rPr>
        <w:t xml:space="preserve">   </w:t>
      </w:r>
      <w:r>
        <w:rPr>
          <w:rFonts w:hint="eastAsia" w:hAnsi="宋体"/>
        </w:rPr>
        <w:t>份（投标人须知第14.1.2条要求投标人提交的全部文件）</w:t>
      </w:r>
    </w:p>
    <w:p>
      <w:pPr>
        <w:pStyle w:val="17"/>
        <w:spacing w:line="320" w:lineRule="exact"/>
        <w:ind w:firstLine="482"/>
        <w:rPr>
          <w:rFonts w:hAnsi="宋体"/>
        </w:rPr>
      </w:pPr>
      <w:r>
        <w:rPr>
          <w:rFonts w:hint="eastAsia" w:hAnsi="宋体"/>
        </w:rPr>
        <w:t>三、商务技术文件正本一份，副本</w:t>
      </w:r>
      <w:r>
        <w:rPr>
          <w:rFonts w:hint="eastAsia" w:hAnsi="宋体"/>
          <w:u w:val="single"/>
        </w:rPr>
        <w:t xml:space="preserve">   </w:t>
      </w:r>
      <w:r>
        <w:rPr>
          <w:rFonts w:hint="eastAsia" w:hAnsi="宋体"/>
        </w:rPr>
        <w:t>份（投标人须知第14.1.3条要求投标人提交的全部文件）</w:t>
      </w:r>
    </w:p>
    <w:p>
      <w:pPr>
        <w:pStyle w:val="17"/>
        <w:spacing w:line="320" w:lineRule="exact"/>
        <w:ind w:firstLine="420"/>
        <w:rPr>
          <w:rFonts w:hAnsi="宋体"/>
        </w:rPr>
      </w:pPr>
    </w:p>
    <w:p>
      <w:pPr>
        <w:pStyle w:val="17"/>
        <w:spacing w:line="360" w:lineRule="exact"/>
        <w:ind w:firstLine="420"/>
        <w:rPr>
          <w:rFonts w:hAnsi="宋体"/>
        </w:rPr>
      </w:pPr>
      <w:r>
        <w:rPr>
          <w:rFonts w:hint="eastAsia" w:hAnsi="宋体"/>
        </w:rPr>
        <w:t>据此函，签字人兹宣布同意如下：</w:t>
      </w:r>
    </w:p>
    <w:p>
      <w:pPr>
        <w:pStyle w:val="17"/>
        <w:spacing w:line="360" w:lineRule="exact"/>
        <w:ind w:left="630" w:leftChars="200" w:hanging="210" w:hangingChars="100"/>
        <w:rPr>
          <w:rFonts w:hAnsi="宋体"/>
        </w:rPr>
      </w:pPr>
      <w:r>
        <w:rPr>
          <w:rFonts w:hint="eastAsia" w:hAnsi="宋体"/>
        </w:rPr>
        <w:t>1．按招标文件项目需求和投标报价表，投标总报价（大写）人民币</w:t>
      </w:r>
      <w:r>
        <w:rPr>
          <w:rFonts w:hint="eastAsia" w:hAnsi="宋体"/>
          <w:u w:val="single"/>
        </w:rPr>
        <w:t xml:space="preserve">       </w:t>
      </w:r>
      <w:r>
        <w:rPr>
          <w:rFonts w:hint="eastAsia" w:hAnsi="宋体"/>
        </w:rPr>
        <w:t>元，(¥</w:t>
      </w:r>
      <w:r>
        <w:rPr>
          <w:rFonts w:hint="eastAsia" w:hAnsi="宋体"/>
          <w:u w:val="single"/>
        </w:rPr>
        <w:t xml:space="preserve">      </w:t>
      </w:r>
      <w:r>
        <w:rPr>
          <w:rFonts w:hint="eastAsia" w:hAnsi="宋体"/>
        </w:rPr>
        <w:t xml:space="preserve"> 元)，交货期（无分标时填写）：</w:t>
      </w:r>
      <w:r>
        <w:rPr>
          <w:rFonts w:hint="eastAsia" w:hAnsi="宋体"/>
          <w:u w:val="single"/>
        </w:rPr>
        <w:t xml:space="preserve">          </w:t>
      </w:r>
      <w:r>
        <w:rPr>
          <w:rFonts w:hint="eastAsia" w:hAnsi="宋体"/>
        </w:rPr>
        <w:t>。</w:t>
      </w:r>
    </w:p>
    <w:p>
      <w:pPr>
        <w:pStyle w:val="17"/>
        <w:spacing w:line="360" w:lineRule="exact"/>
        <w:ind w:left="630" w:leftChars="200" w:hanging="210" w:hangingChars="100"/>
        <w:rPr>
          <w:rFonts w:hAnsi="宋体"/>
        </w:rPr>
      </w:pPr>
      <w:r>
        <w:rPr>
          <w:rFonts w:hint="eastAsia" w:hAnsi="宋体"/>
        </w:rPr>
        <w:t>其中：</w:t>
      </w:r>
    </w:p>
    <w:p>
      <w:pPr>
        <w:pStyle w:val="17"/>
        <w:spacing w:line="360" w:lineRule="exact"/>
        <w:ind w:firstLine="420" w:firstLineChars="200"/>
        <w:rPr>
          <w:rFonts w:hAnsi="宋体"/>
          <w:u w:val="single"/>
        </w:rPr>
      </w:pPr>
      <w:r>
        <w:rPr>
          <w:rFonts w:hint="eastAsia" w:hAnsi="宋体"/>
          <w:u w:val="single"/>
        </w:rPr>
        <w:t xml:space="preserve">  </w:t>
      </w:r>
      <w:r>
        <w:rPr>
          <w:rFonts w:hint="eastAsia" w:hAnsi="宋体"/>
        </w:rPr>
        <w:t>分标报价（大写）人民币</w:t>
      </w:r>
      <w:r>
        <w:rPr>
          <w:rFonts w:hint="eastAsia" w:hAnsi="宋体"/>
          <w:u w:val="single"/>
        </w:rPr>
        <w:t xml:space="preserve">                    </w:t>
      </w:r>
      <w:r>
        <w:rPr>
          <w:rFonts w:hint="eastAsia" w:hAnsi="宋体"/>
        </w:rPr>
        <w:t>元 (¥</w:t>
      </w:r>
      <w:r>
        <w:rPr>
          <w:rFonts w:hint="eastAsia" w:hAnsi="宋体"/>
          <w:u w:val="single"/>
        </w:rPr>
        <w:t xml:space="preserve">           </w:t>
      </w:r>
      <w:r>
        <w:rPr>
          <w:rFonts w:hint="eastAsia" w:hAnsi="宋体"/>
        </w:rPr>
        <w:t>元)，交货期：</w:t>
      </w:r>
      <w:r>
        <w:rPr>
          <w:rFonts w:hint="eastAsia" w:hAnsi="宋体"/>
          <w:u w:val="single"/>
        </w:rPr>
        <w:t xml:space="preserve">          </w:t>
      </w:r>
      <w:r>
        <w:rPr>
          <w:rFonts w:hint="eastAsia" w:hAnsi="宋体"/>
        </w:rPr>
        <w:t>；</w:t>
      </w:r>
    </w:p>
    <w:p>
      <w:pPr>
        <w:pStyle w:val="17"/>
        <w:spacing w:line="360" w:lineRule="exact"/>
        <w:ind w:firstLine="420"/>
        <w:rPr>
          <w:rFonts w:hAnsi="宋体"/>
        </w:rPr>
      </w:pPr>
      <w:r>
        <w:rPr>
          <w:rFonts w:hint="eastAsia" w:hAnsi="宋体"/>
          <w:u w:val="single"/>
        </w:rPr>
        <w:t xml:space="preserve">  </w:t>
      </w:r>
      <w:r>
        <w:rPr>
          <w:rFonts w:hint="eastAsia" w:hAnsi="宋体"/>
        </w:rPr>
        <w:t>分标报价（大写）人民币</w:t>
      </w:r>
      <w:r>
        <w:rPr>
          <w:rFonts w:hint="eastAsia" w:hAnsi="宋体"/>
          <w:u w:val="single"/>
        </w:rPr>
        <w:t xml:space="preserve">                    </w:t>
      </w:r>
      <w:r>
        <w:rPr>
          <w:rFonts w:hint="eastAsia" w:hAnsi="宋体"/>
        </w:rPr>
        <w:t>元 (¥</w:t>
      </w:r>
      <w:r>
        <w:rPr>
          <w:rFonts w:hint="eastAsia" w:hAnsi="宋体"/>
          <w:u w:val="single"/>
        </w:rPr>
        <w:t xml:space="preserve">           </w:t>
      </w:r>
      <w:r>
        <w:rPr>
          <w:rFonts w:hint="eastAsia" w:hAnsi="宋体"/>
        </w:rPr>
        <w:t>元)，交货期：</w:t>
      </w:r>
      <w:r>
        <w:rPr>
          <w:rFonts w:hint="eastAsia" w:hAnsi="宋体"/>
          <w:u w:val="single"/>
        </w:rPr>
        <w:t xml:space="preserve">          </w:t>
      </w:r>
      <w:r>
        <w:rPr>
          <w:rFonts w:hint="eastAsia" w:hAnsi="宋体"/>
        </w:rPr>
        <w:t>；</w:t>
      </w:r>
    </w:p>
    <w:p>
      <w:pPr>
        <w:pStyle w:val="17"/>
        <w:spacing w:line="360" w:lineRule="exact"/>
        <w:ind w:firstLine="420"/>
        <w:rPr>
          <w:rFonts w:hAnsi="宋体"/>
        </w:rPr>
      </w:pPr>
      <w:r>
        <w:rPr>
          <w:rFonts w:hint="eastAsia" w:hAnsi="宋体"/>
        </w:rPr>
        <w:t>……</w:t>
      </w:r>
    </w:p>
    <w:p>
      <w:pPr>
        <w:pStyle w:val="17"/>
        <w:spacing w:line="360" w:lineRule="exact"/>
        <w:ind w:firstLine="420"/>
        <w:rPr>
          <w:rFonts w:hAnsi="宋体"/>
        </w:rPr>
      </w:pPr>
      <w:r>
        <w:rPr>
          <w:rFonts w:hint="eastAsia" w:hAnsi="宋体"/>
          <w:u w:val="single"/>
        </w:rPr>
        <w:t xml:space="preserve">  </w:t>
      </w:r>
      <w:r>
        <w:rPr>
          <w:rFonts w:hint="eastAsia" w:hAnsi="宋体"/>
        </w:rPr>
        <w:t>分标报价（大写）人民币</w:t>
      </w:r>
      <w:r>
        <w:rPr>
          <w:rFonts w:hint="eastAsia" w:hAnsi="宋体"/>
          <w:u w:val="single"/>
        </w:rPr>
        <w:t xml:space="preserve">                    </w:t>
      </w:r>
      <w:r>
        <w:rPr>
          <w:rFonts w:hint="eastAsia" w:hAnsi="宋体"/>
        </w:rPr>
        <w:t>元 (¥</w:t>
      </w:r>
      <w:r>
        <w:rPr>
          <w:rFonts w:hint="eastAsia" w:hAnsi="宋体"/>
          <w:u w:val="single"/>
        </w:rPr>
        <w:t xml:space="preserve">           </w:t>
      </w:r>
      <w:r>
        <w:rPr>
          <w:rFonts w:hint="eastAsia" w:hAnsi="宋体"/>
        </w:rPr>
        <w:t>元)，交货期：</w:t>
      </w:r>
      <w:r>
        <w:rPr>
          <w:rFonts w:hint="eastAsia" w:hAnsi="宋体"/>
          <w:u w:val="single"/>
        </w:rPr>
        <w:t xml:space="preserve">          </w:t>
      </w:r>
      <w:r>
        <w:rPr>
          <w:rFonts w:hint="eastAsia" w:hAnsi="宋体"/>
        </w:rPr>
        <w:t>；</w:t>
      </w:r>
    </w:p>
    <w:p>
      <w:pPr>
        <w:pStyle w:val="17"/>
        <w:spacing w:line="360" w:lineRule="exact"/>
        <w:ind w:firstLine="420"/>
        <w:rPr>
          <w:rFonts w:hAnsi="宋体"/>
        </w:rPr>
      </w:pPr>
      <w:r>
        <w:rPr>
          <w:rFonts w:hint="eastAsia" w:hAnsi="宋体"/>
        </w:rPr>
        <w:t>2．我方同意在投标人须知规定的开标日期起遵循本投标函，并在投标人须知第18条规定的投标文件有效期满之前均具有约束力，并有可能中标。</w:t>
      </w:r>
    </w:p>
    <w:p>
      <w:pPr>
        <w:pStyle w:val="17"/>
        <w:spacing w:line="360" w:lineRule="exact"/>
        <w:ind w:firstLine="420"/>
        <w:rPr>
          <w:rFonts w:hAnsi="宋体"/>
        </w:rPr>
      </w:pPr>
      <w:r>
        <w:rPr>
          <w:rFonts w:hint="eastAsia" w:hAnsi="宋体"/>
        </w:rPr>
        <w:t>3．我方承诺已经具备《中华人民共和国政府采购法》中规定的参加政府采购活动的供应商应当具备的条件：</w:t>
      </w:r>
    </w:p>
    <w:p>
      <w:pPr>
        <w:pStyle w:val="17"/>
        <w:numPr>
          <w:ilvl w:val="0"/>
          <w:numId w:val="3"/>
        </w:numPr>
        <w:spacing w:line="360" w:lineRule="exact"/>
        <w:rPr>
          <w:rFonts w:hAnsi="宋体"/>
        </w:rPr>
      </w:pPr>
      <w:r>
        <w:rPr>
          <w:rFonts w:hint="eastAsia" w:hAnsi="宋体"/>
        </w:rPr>
        <w:t>具有独立承担民事责任的能力；</w:t>
      </w:r>
    </w:p>
    <w:p>
      <w:pPr>
        <w:pStyle w:val="17"/>
        <w:numPr>
          <w:ilvl w:val="0"/>
          <w:numId w:val="3"/>
        </w:numPr>
        <w:spacing w:line="360" w:lineRule="exact"/>
        <w:rPr>
          <w:rFonts w:hAnsi="宋体"/>
        </w:rPr>
      </w:pPr>
      <w:r>
        <w:rPr>
          <w:rFonts w:hint="eastAsia" w:hAnsi="宋体"/>
        </w:rPr>
        <w:t>具有良好的商业信誉和健全的财务会计制度；</w:t>
      </w:r>
    </w:p>
    <w:p>
      <w:pPr>
        <w:pStyle w:val="17"/>
        <w:numPr>
          <w:ilvl w:val="0"/>
          <w:numId w:val="3"/>
        </w:numPr>
        <w:spacing w:line="360" w:lineRule="exact"/>
        <w:rPr>
          <w:rFonts w:hAnsi="宋体"/>
        </w:rPr>
      </w:pPr>
      <w:r>
        <w:rPr>
          <w:rFonts w:hint="eastAsia" w:hAnsi="宋体"/>
        </w:rPr>
        <w:t>具有履行合同所必需的设备和专业技术能力；</w:t>
      </w:r>
    </w:p>
    <w:p>
      <w:pPr>
        <w:pStyle w:val="17"/>
        <w:numPr>
          <w:ilvl w:val="0"/>
          <w:numId w:val="3"/>
        </w:numPr>
        <w:spacing w:line="360" w:lineRule="exact"/>
        <w:rPr>
          <w:rFonts w:hAnsi="宋体"/>
        </w:rPr>
      </w:pPr>
      <w:r>
        <w:rPr>
          <w:rFonts w:hint="eastAsia" w:hAnsi="宋体"/>
        </w:rPr>
        <w:t>有依法缴纳税收和社会保障资金的良好记录；</w:t>
      </w:r>
    </w:p>
    <w:p>
      <w:pPr>
        <w:pStyle w:val="17"/>
        <w:numPr>
          <w:ilvl w:val="0"/>
          <w:numId w:val="3"/>
        </w:numPr>
        <w:spacing w:line="360" w:lineRule="exact"/>
        <w:rPr>
          <w:rFonts w:hAnsi="宋体"/>
        </w:rPr>
      </w:pPr>
      <w:r>
        <w:rPr>
          <w:rFonts w:hint="eastAsia" w:hAnsi="宋体"/>
        </w:rPr>
        <w:t>参加此项采购活动前三年内，在经营活动中没有重大违法记录。</w:t>
      </w:r>
    </w:p>
    <w:p>
      <w:pPr>
        <w:pStyle w:val="17"/>
        <w:spacing w:line="360" w:lineRule="exact"/>
        <w:ind w:firstLine="420"/>
        <w:rPr>
          <w:rFonts w:hAnsi="宋体"/>
        </w:rPr>
      </w:pPr>
      <w:r>
        <w:rPr>
          <w:rFonts w:hint="eastAsia" w:hAnsi="宋体"/>
        </w:rPr>
        <w:t>4．我方根据招标文件的规定，承担完成合同的责任和义务。</w:t>
      </w:r>
    </w:p>
    <w:p>
      <w:pPr>
        <w:pStyle w:val="17"/>
        <w:spacing w:line="360" w:lineRule="exact"/>
        <w:ind w:firstLine="420"/>
        <w:rPr>
          <w:rFonts w:hAnsi="宋体"/>
        </w:rPr>
      </w:pPr>
      <w:r>
        <w:rPr>
          <w:rFonts w:hint="eastAsia" w:hAnsi="宋体"/>
        </w:rPr>
        <w:t>5．我方已详细审核招标文件，我方知道必须放弃提出含糊不清或误解问题的权利。</w:t>
      </w:r>
    </w:p>
    <w:p>
      <w:pPr>
        <w:pStyle w:val="17"/>
        <w:spacing w:line="360" w:lineRule="exact"/>
        <w:ind w:firstLine="420"/>
        <w:rPr>
          <w:rFonts w:hAnsi="宋体"/>
        </w:rPr>
      </w:pPr>
      <w:r>
        <w:rPr>
          <w:rFonts w:hint="eastAsia" w:hAnsi="宋体"/>
        </w:rPr>
        <w:t>6．如果在投标文件有效期内撤回投标或者有其他违约行为，我方的投标保证金可被贵方全部或部分没收。</w:t>
      </w:r>
    </w:p>
    <w:p>
      <w:pPr>
        <w:pStyle w:val="17"/>
        <w:spacing w:line="360" w:lineRule="exact"/>
        <w:ind w:firstLine="420"/>
        <w:rPr>
          <w:rFonts w:hAnsi="宋体"/>
        </w:rPr>
      </w:pPr>
      <w:r>
        <w:rPr>
          <w:rFonts w:hint="eastAsia" w:hAnsi="宋体"/>
        </w:rPr>
        <w:t>7．同意应贵方要求提供与本投标有关的任何数据或资料。</w:t>
      </w:r>
    </w:p>
    <w:p>
      <w:pPr>
        <w:pStyle w:val="17"/>
        <w:spacing w:line="360" w:lineRule="exact"/>
        <w:ind w:firstLine="420"/>
        <w:rPr>
          <w:rFonts w:hAnsi="宋体"/>
        </w:rPr>
      </w:pPr>
      <w:r>
        <w:rPr>
          <w:rFonts w:hint="eastAsia" w:hAnsi="宋体"/>
        </w:rPr>
        <w:t>8．我方完全理解贵方不一定要接受最低报价的投标人为中标供应商的行为。</w:t>
      </w:r>
    </w:p>
    <w:p>
      <w:pPr>
        <w:pStyle w:val="17"/>
        <w:spacing w:line="360" w:lineRule="exact"/>
        <w:ind w:firstLine="420" w:firstLineChars="200"/>
        <w:rPr>
          <w:rFonts w:hAnsi="宋体"/>
        </w:rPr>
      </w:pPr>
      <w:r>
        <w:rPr>
          <w:rFonts w:hint="eastAsia" w:hAnsi="宋体"/>
        </w:rPr>
        <w:t>9．若贵方需要，我方愿意提供我方作出的一切承诺的证明材料。</w:t>
      </w:r>
    </w:p>
    <w:p>
      <w:pPr>
        <w:pStyle w:val="17"/>
        <w:spacing w:line="360" w:lineRule="exact"/>
        <w:ind w:firstLine="338" w:firstLineChars="161"/>
        <w:rPr>
          <w:rFonts w:hAnsi="宋体"/>
        </w:rPr>
      </w:pPr>
      <w:r>
        <w:rPr>
          <w:rFonts w:hint="eastAsia" w:hAnsi="宋体"/>
        </w:rPr>
        <w:t>10．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7"/>
        <w:numPr>
          <w:ilvl w:val="0"/>
          <w:numId w:val="4"/>
        </w:numPr>
        <w:spacing w:line="360" w:lineRule="exact"/>
        <w:rPr>
          <w:rFonts w:hAnsi="宋体"/>
        </w:rPr>
      </w:pPr>
      <w:r>
        <w:rPr>
          <w:rFonts w:hint="eastAsia" w:hAnsi="宋体"/>
        </w:rPr>
        <w:t>提供虚假材料谋取中标、成交的；</w:t>
      </w:r>
    </w:p>
    <w:p>
      <w:pPr>
        <w:pStyle w:val="17"/>
        <w:numPr>
          <w:ilvl w:val="0"/>
          <w:numId w:val="4"/>
        </w:numPr>
        <w:spacing w:line="360" w:lineRule="exact"/>
        <w:rPr>
          <w:rFonts w:hAnsi="宋体"/>
        </w:rPr>
      </w:pPr>
      <w:r>
        <w:rPr>
          <w:rFonts w:hint="eastAsia" w:hAnsi="宋体"/>
        </w:rPr>
        <w:t>采取不正当手段诋毁、排挤其他供应商的；</w:t>
      </w:r>
    </w:p>
    <w:p>
      <w:pPr>
        <w:pStyle w:val="17"/>
        <w:numPr>
          <w:ilvl w:val="0"/>
          <w:numId w:val="4"/>
        </w:numPr>
        <w:spacing w:line="360" w:lineRule="exact"/>
        <w:rPr>
          <w:rFonts w:hAnsi="宋体"/>
        </w:rPr>
      </w:pPr>
      <w:r>
        <w:rPr>
          <w:rFonts w:hint="eastAsia" w:hAnsi="宋体"/>
        </w:rPr>
        <w:t>与采购人、其他供应商或者连云港市政府采购中心恶意串通的；</w:t>
      </w:r>
    </w:p>
    <w:p>
      <w:pPr>
        <w:pStyle w:val="17"/>
        <w:numPr>
          <w:ilvl w:val="0"/>
          <w:numId w:val="4"/>
        </w:numPr>
        <w:spacing w:line="360" w:lineRule="exact"/>
        <w:rPr>
          <w:rFonts w:hAnsi="宋体"/>
        </w:rPr>
      </w:pPr>
      <w:r>
        <w:rPr>
          <w:rFonts w:hint="eastAsia" w:hAnsi="宋体"/>
        </w:rPr>
        <w:t>向采购人、连云港市政府采购中心行贿或者提供其他不正当利益的；</w:t>
      </w:r>
    </w:p>
    <w:p>
      <w:pPr>
        <w:pStyle w:val="17"/>
        <w:numPr>
          <w:ilvl w:val="0"/>
          <w:numId w:val="4"/>
        </w:numPr>
        <w:spacing w:line="360" w:lineRule="exact"/>
        <w:rPr>
          <w:rFonts w:hAnsi="宋体"/>
        </w:rPr>
      </w:pPr>
      <w:r>
        <w:rPr>
          <w:rFonts w:hint="eastAsia" w:hAnsi="宋体"/>
        </w:rPr>
        <w:t>在招标采购过程中与采购人进行协商谈判的；</w:t>
      </w:r>
    </w:p>
    <w:p>
      <w:pPr>
        <w:pStyle w:val="17"/>
        <w:numPr>
          <w:ilvl w:val="0"/>
          <w:numId w:val="4"/>
        </w:numPr>
        <w:spacing w:line="360" w:lineRule="exact"/>
        <w:rPr>
          <w:rFonts w:hAnsi="宋体"/>
        </w:rPr>
      </w:pPr>
      <w:r>
        <w:rPr>
          <w:rFonts w:hint="eastAsia" w:hAnsi="宋体"/>
        </w:rPr>
        <w:t>拒绝有关部门监督检查或提供虚假情况的。</w:t>
      </w:r>
    </w:p>
    <w:p>
      <w:pPr>
        <w:pStyle w:val="17"/>
        <w:spacing w:line="320" w:lineRule="exact"/>
        <w:rPr>
          <w:rFonts w:hAnsi="宋体"/>
        </w:rPr>
      </w:pPr>
    </w:p>
    <w:p>
      <w:pPr>
        <w:pStyle w:val="17"/>
        <w:spacing w:line="400" w:lineRule="exact"/>
        <w:ind w:firstLine="420"/>
        <w:rPr>
          <w:rFonts w:hAnsi="宋体"/>
        </w:rPr>
      </w:pPr>
      <w:r>
        <w:rPr>
          <w:rFonts w:hint="eastAsia" w:hAnsi="宋体"/>
        </w:rPr>
        <w:t>与本投标有关的正式通讯地址为：</w:t>
      </w:r>
    </w:p>
    <w:p>
      <w:pPr>
        <w:pStyle w:val="17"/>
        <w:spacing w:line="400" w:lineRule="exact"/>
        <w:ind w:firstLine="420"/>
        <w:rPr>
          <w:rFonts w:hAnsi="宋体"/>
        </w:rPr>
      </w:pPr>
      <w:r>
        <w:rPr>
          <w:rFonts w:hint="eastAsia" w:hAnsi="宋体"/>
        </w:rPr>
        <w:t>地址：</w:t>
      </w:r>
      <w:r>
        <w:rPr>
          <w:rFonts w:hint="eastAsia" w:hAnsi="宋体"/>
          <w:u w:val="single"/>
        </w:rPr>
        <w:t xml:space="preserve">                                </w:t>
      </w:r>
      <w:r>
        <w:rPr>
          <w:rFonts w:hint="eastAsia" w:hAnsi="宋体"/>
        </w:rPr>
        <w:t xml:space="preserve"> 邮政编码：</w:t>
      </w:r>
      <w:r>
        <w:rPr>
          <w:rFonts w:hint="eastAsia" w:hAnsi="宋体"/>
          <w:u w:val="single"/>
        </w:rPr>
        <w:t xml:space="preserve">             </w:t>
      </w:r>
    </w:p>
    <w:p>
      <w:pPr>
        <w:pStyle w:val="17"/>
        <w:spacing w:line="400" w:lineRule="exact"/>
        <w:ind w:firstLine="420"/>
        <w:rPr>
          <w:rFonts w:hAnsi="宋体"/>
          <w:u w:val="single"/>
        </w:rPr>
      </w:pPr>
      <w:r>
        <w:rPr>
          <w:rFonts w:hint="eastAsia" w:hAnsi="宋体"/>
        </w:rPr>
        <w:t>电话：</w:t>
      </w:r>
      <w:r>
        <w:rPr>
          <w:rFonts w:hint="eastAsia" w:hAnsi="宋体"/>
          <w:u w:val="single"/>
        </w:rPr>
        <w:t xml:space="preserve">                                      　　　　　　　　　</w:t>
      </w:r>
    </w:p>
    <w:p>
      <w:pPr>
        <w:pStyle w:val="17"/>
        <w:spacing w:line="400" w:lineRule="exact"/>
        <w:ind w:firstLine="420"/>
        <w:rPr>
          <w:rFonts w:hAnsi="宋体"/>
        </w:rPr>
      </w:pPr>
      <w:r>
        <w:rPr>
          <w:rFonts w:hint="eastAsia" w:hAnsi="宋体"/>
        </w:rPr>
        <w:t>传真：</w:t>
      </w:r>
      <w:r>
        <w:rPr>
          <w:rFonts w:hint="eastAsia" w:hAnsi="宋体"/>
          <w:u w:val="single"/>
        </w:rPr>
        <w:t>　　　　　　　　　　　　　　　　　　　　　　　　　　　　</w:t>
      </w:r>
    </w:p>
    <w:p>
      <w:pPr>
        <w:pStyle w:val="17"/>
        <w:spacing w:line="400" w:lineRule="exact"/>
        <w:ind w:firstLine="420"/>
        <w:rPr>
          <w:rFonts w:hAnsi="宋体"/>
          <w:u w:val="single"/>
        </w:rPr>
      </w:pPr>
      <w:r>
        <w:rPr>
          <w:rFonts w:hint="eastAsia" w:hAnsi="宋体"/>
        </w:rPr>
        <w:t>开户名称：</w:t>
      </w:r>
      <w:r>
        <w:rPr>
          <w:rFonts w:hint="eastAsia" w:hAnsi="宋体"/>
          <w:u w:val="single"/>
        </w:rPr>
        <w:t xml:space="preserve">                                                    </w:t>
      </w:r>
    </w:p>
    <w:p>
      <w:pPr>
        <w:pStyle w:val="17"/>
        <w:spacing w:line="400" w:lineRule="exact"/>
        <w:ind w:firstLine="420"/>
        <w:rPr>
          <w:rFonts w:hAnsi="宋体"/>
          <w:u w:val="single"/>
        </w:rPr>
      </w:pPr>
      <w:r>
        <w:rPr>
          <w:rFonts w:hint="eastAsia" w:hAnsi="宋体"/>
        </w:rPr>
        <w:t>开户银行：</w:t>
      </w:r>
      <w:r>
        <w:rPr>
          <w:rFonts w:hint="eastAsia" w:hAnsi="宋体"/>
          <w:u w:val="single"/>
        </w:rPr>
        <w:t xml:space="preserve">                                                    </w:t>
      </w:r>
    </w:p>
    <w:p>
      <w:pPr>
        <w:pStyle w:val="17"/>
        <w:spacing w:line="400" w:lineRule="exact"/>
        <w:ind w:firstLine="420"/>
        <w:rPr>
          <w:rFonts w:hAnsi="宋体"/>
          <w:u w:val="single"/>
        </w:rPr>
      </w:pPr>
      <w:r>
        <w:rPr>
          <w:rFonts w:hint="eastAsia" w:hAnsi="宋体"/>
        </w:rPr>
        <w:t>帐    号：</w:t>
      </w:r>
      <w:r>
        <w:rPr>
          <w:rFonts w:hint="eastAsia" w:hAnsi="宋体"/>
          <w:u w:val="single"/>
        </w:rPr>
        <w:t xml:space="preserve">                                                    </w:t>
      </w:r>
    </w:p>
    <w:p>
      <w:pPr>
        <w:pStyle w:val="17"/>
        <w:spacing w:line="400" w:lineRule="exact"/>
        <w:ind w:firstLine="420"/>
        <w:rPr>
          <w:rFonts w:hAnsi="宋体"/>
        </w:rPr>
      </w:pPr>
      <w:r>
        <w:rPr>
          <w:rFonts w:hint="eastAsia" w:hAnsi="宋体"/>
        </w:rPr>
        <w:t>法定代表人或其委托集采人签字（或盖章）：</w:t>
      </w:r>
      <w:r>
        <w:rPr>
          <w:rFonts w:hint="eastAsia" w:hAnsi="宋体"/>
          <w:u w:val="single"/>
        </w:rPr>
        <w:t xml:space="preserve">                       </w:t>
      </w:r>
    </w:p>
    <w:p>
      <w:pPr>
        <w:pStyle w:val="17"/>
        <w:spacing w:line="400" w:lineRule="exact"/>
        <w:ind w:firstLine="420"/>
        <w:rPr>
          <w:rFonts w:hAnsi="宋体"/>
        </w:rPr>
      </w:pPr>
      <w:r>
        <w:rPr>
          <w:rFonts w:hint="eastAsia" w:hAnsi="宋体"/>
        </w:rPr>
        <w:t>投标人盖公章：</w:t>
      </w:r>
      <w:r>
        <w:rPr>
          <w:rFonts w:hint="eastAsia" w:hAnsi="宋体"/>
          <w:u w:val="single"/>
        </w:rPr>
        <w:t xml:space="preserve">                                                </w:t>
      </w:r>
    </w:p>
    <w:p>
      <w:pPr>
        <w:pStyle w:val="17"/>
        <w:spacing w:line="400" w:lineRule="exact"/>
        <w:ind w:firstLine="420" w:firstLineChars="200"/>
        <w:rPr>
          <w:rFonts w:hAnsi="宋体"/>
          <w:u w:val="single"/>
        </w:rPr>
      </w:pPr>
      <w:r>
        <w:rPr>
          <w:rFonts w:hint="eastAsia" w:hAnsi="宋体"/>
        </w:rPr>
        <w:t>投标日期：</w:t>
      </w:r>
      <w:r>
        <w:rPr>
          <w:rFonts w:hint="eastAsia" w:hAnsi="宋体"/>
          <w:u w:val="single"/>
        </w:rPr>
        <w:t xml:space="preserve">                                                    </w:t>
      </w:r>
    </w:p>
    <w:p>
      <w:pPr>
        <w:pStyle w:val="17"/>
        <w:rPr>
          <w:rFonts w:hAnsi="宋体"/>
        </w:rPr>
      </w:pPr>
    </w:p>
    <w:p>
      <w:pPr>
        <w:pStyle w:val="17"/>
        <w:rPr>
          <w:rFonts w:hAnsi="宋体"/>
        </w:rPr>
      </w:pPr>
    </w:p>
    <w:p>
      <w:pPr>
        <w:rPr>
          <w:rFonts w:ascii="宋体" w:hAnsi="宋体"/>
        </w:rPr>
      </w:pPr>
      <w:r>
        <w:rPr>
          <w:rFonts w:hint="eastAsia" w:ascii="宋体" w:hAnsi="宋体"/>
        </w:rPr>
        <w:t>注：未按照本投标函的格式要求填写投标函的，将造成非实质响应投标，从而导致该投标人投标无效。</w:t>
      </w:r>
    </w:p>
    <w:p>
      <w:pPr>
        <w:rPr>
          <w:rStyle w:val="98"/>
          <w:rFonts w:ascii="宋体" w:hAnsi="宋体"/>
          <w:sz w:val="21"/>
          <w:szCs w:val="21"/>
        </w:rPr>
      </w:pPr>
    </w:p>
    <w:p>
      <w:pPr>
        <w:pStyle w:val="26"/>
        <w:jc w:val="left"/>
        <w:rPr>
          <w:rFonts w:ascii="宋体" w:hAnsi="宋体"/>
          <w:sz w:val="21"/>
          <w:szCs w:val="21"/>
        </w:rPr>
      </w:pPr>
      <w:r>
        <w:rPr>
          <w:rStyle w:val="98"/>
          <w:rFonts w:ascii="宋体" w:hAnsi="宋体"/>
          <w:b w:val="0"/>
          <w:bCs w:val="0"/>
          <w:sz w:val="21"/>
          <w:szCs w:val="21"/>
        </w:rPr>
        <w:br w:type="page"/>
      </w:r>
      <w:r>
        <w:rPr>
          <w:rStyle w:val="98"/>
          <w:rFonts w:hint="eastAsia" w:ascii="宋体" w:hAnsi="宋体"/>
          <w:b w:val="0"/>
          <w:bCs w:val="0"/>
          <w:sz w:val="21"/>
          <w:szCs w:val="21"/>
        </w:rPr>
        <w:t>格式2：</w:t>
      </w:r>
      <w:r>
        <w:rPr>
          <w:rFonts w:hint="eastAsia" w:ascii="宋体" w:hAnsi="宋体"/>
          <w:sz w:val="21"/>
          <w:szCs w:val="21"/>
        </w:rPr>
        <w:t>开标一览表</w:t>
      </w:r>
    </w:p>
    <w:p>
      <w:pPr>
        <w:pStyle w:val="17"/>
        <w:jc w:val="center"/>
        <w:rPr>
          <w:rFonts w:hAnsi="宋体"/>
          <w:b/>
          <w:sz w:val="32"/>
        </w:rPr>
      </w:pPr>
    </w:p>
    <w:p>
      <w:pPr>
        <w:widowControl/>
        <w:adjustRightInd w:val="0"/>
        <w:spacing w:line="360" w:lineRule="auto"/>
        <w:jc w:val="center"/>
        <w:rPr>
          <w:rFonts w:ascii="黑体" w:hAnsi="宋体" w:eastAsia="黑体" w:cs="宋体"/>
          <w:kern w:val="0"/>
          <w:sz w:val="36"/>
          <w:szCs w:val="36"/>
          <w:lang w:val="zh-CN"/>
        </w:rPr>
      </w:pPr>
      <w:r>
        <w:rPr>
          <w:rFonts w:hint="eastAsia" w:ascii="黑体" w:hAnsi="宋体" w:eastAsia="黑体" w:cs="宋体"/>
          <w:kern w:val="0"/>
          <w:sz w:val="36"/>
          <w:szCs w:val="36"/>
          <w:lang w:val="zh-CN"/>
        </w:rPr>
        <w:t>开标一览表</w:t>
      </w:r>
    </w:p>
    <w:tbl>
      <w:tblPr>
        <w:tblStyle w:val="41"/>
        <w:tblW w:w="9385" w:type="dxa"/>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31"/>
        <w:gridCol w:w="1155"/>
        <w:gridCol w:w="1618"/>
        <w:gridCol w:w="508"/>
        <w:gridCol w:w="2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6038" w:type="dxa"/>
            <w:gridSpan w:val="4"/>
            <w:tcBorders>
              <w:top w:val="nil"/>
              <w:left w:val="nil"/>
              <w:right w:val="nil"/>
            </w:tcBorders>
            <w:vAlign w:val="center"/>
          </w:tcPr>
          <w:p>
            <w:pPr>
              <w:widowControl/>
              <w:snapToGrid w:val="0"/>
              <w:spacing w:line="360" w:lineRule="auto"/>
              <w:jc w:val="left"/>
              <w:rPr>
                <w:rFonts w:ascii="宋体" w:hAnsi="宋体" w:cs="宋体"/>
                <w:kern w:val="0"/>
                <w:szCs w:val="21"/>
                <w:lang w:val="zh-CN"/>
              </w:rPr>
            </w:pPr>
            <w:r>
              <w:rPr>
                <w:rFonts w:hint="eastAsia" w:ascii="宋体" w:hAnsi="宋体" w:cs="宋体"/>
                <w:kern w:val="0"/>
                <w:szCs w:val="21"/>
                <w:lang w:val="zh-CN"/>
              </w:rPr>
              <w:t xml:space="preserve">项目名称： </w:t>
            </w:r>
          </w:p>
        </w:tc>
        <w:tc>
          <w:tcPr>
            <w:tcW w:w="3347" w:type="dxa"/>
            <w:gridSpan w:val="2"/>
            <w:tcBorders>
              <w:top w:val="nil"/>
              <w:left w:val="nil"/>
              <w:right w:val="nil"/>
            </w:tcBorders>
            <w:vAlign w:val="center"/>
          </w:tcPr>
          <w:p>
            <w:pPr>
              <w:widowControl/>
              <w:snapToGrid w:val="0"/>
              <w:spacing w:line="360" w:lineRule="auto"/>
              <w:jc w:val="left"/>
              <w:rPr>
                <w:rFonts w:ascii="宋体" w:hAnsi="宋体" w:cs="宋体"/>
                <w:kern w:val="0"/>
                <w:szCs w:val="21"/>
                <w:lang w:val="zh-CN"/>
              </w:rPr>
            </w:pPr>
            <w:r>
              <w:rPr>
                <w:rFonts w:hint="eastAsia" w:ascii="宋体" w:hAnsi="宋体" w:cs="宋体"/>
                <w:kern w:val="0"/>
                <w:szCs w:val="21"/>
                <w:lang w:val="zh-CN"/>
              </w:rPr>
              <w:t>项目编号：</w:t>
            </w:r>
            <w:r>
              <w:rPr>
                <w:rFonts w:ascii="宋体" w:hAnsi="宋体" w:cs="宋体"/>
                <w:kern w:val="0"/>
                <w:szCs w:val="21"/>
                <w:lang w:val="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34" w:type="dxa"/>
            <w:vAlign w:val="center"/>
          </w:tcPr>
          <w:p>
            <w:pPr>
              <w:spacing w:line="360" w:lineRule="auto"/>
              <w:jc w:val="center"/>
              <w:rPr>
                <w:rFonts w:ascii="宋体"/>
                <w:szCs w:val="21"/>
                <w:lang w:val="zh-CN"/>
              </w:rPr>
            </w:pPr>
            <w:r>
              <w:rPr>
                <w:rFonts w:hint="eastAsia" w:ascii="宋体"/>
                <w:szCs w:val="21"/>
                <w:lang w:val="zh-CN"/>
              </w:rPr>
              <w:t>序号</w:t>
            </w:r>
          </w:p>
        </w:tc>
        <w:tc>
          <w:tcPr>
            <w:tcW w:w="3686" w:type="dxa"/>
            <w:gridSpan w:val="2"/>
            <w:vAlign w:val="center"/>
          </w:tcPr>
          <w:p>
            <w:pPr>
              <w:spacing w:line="360" w:lineRule="auto"/>
              <w:jc w:val="center"/>
              <w:rPr>
                <w:rFonts w:ascii="宋体"/>
                <w:szCs w:val="21"/>
                <w:lang w:val="zh-CN"/>
              </w:rPr>
            </w:pPr>
            <w:r>
              <w:rPr>
                <w:rFonts w:hint="eastAsia" w:ascii="宋体"/>
                <w:szCs w:val="21"/>
                <w:lang w:val="zh-CN"/>
              </w:rPr>
              <w:t>名               称</w:t>
            </w:r>
          </w:p>
        </w:tc>
        <w:tc>
          <w:tcPr>
            <w:tcW w:w="2126" w:type="dxa"/>
            <w:gridSpan w:val="2"/>
            <w:vAlign w:val="center"/>
          </w:tcPr>
          <w:p>
            <w:pPr>
              <w:spacing w:line="360" w:lineRule="auto"/>
              <w:jc w:val="center"/>
              <w:rPr>
                <w:rFonts w:ascii="宋体"/>
                <w:szCs w:val="21"/>
                <w:lang w:val="zh-CN"/>
              </w:rPr>
            </w:pPr>
            <w:r>
              <w:rPr>
                <w:rFonts w:hint="eastAsia" w:ascii="宋体"/>
                <w:szCs w:val="21"/>
                <w:lang w:val="zh-CN"/>
              </w:rPr>
              <w:t>报价（元）</w:t>
            </w:r>
          </w:p>
        </w:tc>
        <w:tc>
          <w:tcPr>
            <w:tcW w:w="2839" w:type="dxa"/>
            <w:vAlign w:val="center"/>
          </w:tcPr>
          <w:p>
            <w:pPr>
              <w:spacing w:line="360" w:lineRule="auto"/>
              <w:jc w:val="center"/>
              <w:rPr>
                <w:rFonts w:ascii="宋体"/>
                <w:szCs w:val="21"/>
                <w:lang w:val="zh-CN"/>
              </w:rPr>
            </w:pPr>
            <w:r>
              <w:rPr>
                <w:rFonts w:hint="eastAsia" w:ascii="宋体"/>
                <w:szCs w:val="21"/>
                <w:lang w:val="zh-CN"/>
              </w:rPr>
              <w:t>其中，</w:t>
            </w:r>
            <w:r>
              <w:rPr>
                <w:rFonts w:hint="eastAsia" w:ascii="宋体" w:hAnsi="宋体" w:cs="宋体"/>
                <w:b/>
                <w:color w:val="FF0000"/>
                <w:kern w:val="0"/>
                <w:szCs w:val="21"/>
              </w:rPr>
              <w:t>小、微型企业</w:t>
            </w:r>
            <w:r>
              <w:rPr>
                <w:rFonts w:hint="eastAsia" w:hAnsi="宋体"/>
                <w:b/>
                <w:color w:val="FF0000"/>
              </w:rPr>
              <w:t>、监狱企业、残疾人福利单位产品合计</w:t>
            </w:r>
            <w:r>
              <w:rPr>
                <w:rFonts w:hint="eastAsia" w:ascii="宋体" w:hAnsi="宋体" w:cs="宋体"/>
                <w:b/>
                <w:kern w:val="0"/>
                <w:szCs w:val="21"/>
              </w:rPr>
              <w:t>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34" w:type="dxa"/>
            <w:vAlign w:val="center"/>
          </w:tcPr>
          <w:p>
            <w:pPr>
              <w:spacing w:line="360" w:lineRule="auto"/>
              <w:jc w:val="center"/>
              <w:rPr>
                <w:rFonts w:ascii="宋体" w:hAnsi="宋体"/>
                <w:spacing w:val="-2"/>
                <w:szCs w:val="21"/>
              </w:rPr>
            </w:pPr>
          </w:p>
        </w:tc>
        <w:tc>
          <w:tcPr>
            <w:tcW w:w="3686" w:type="dxa"/>
            <w:gridSpan w:val="2"/>
            <w:vAlign w:val="center"/>
          </w:tcPr>
          <w:p>
            <w:pPr>
              <w:spacing w:line="360" w:lineRule="auto"/>
              <w:rPr>
                <w:rFonts w:ascii="宋体" w:hAnsi="宋体"/>
                <w:spacing w:val="-2"/>
                <w:szCs w:val="21"/>
                <w:u w:val="single"/>
              </w:rPr>
            </w:pPr>
            <w:r>
              <w:rPr>
                <w:rFonts w:hint="eastAsia" w:ascii="宋体" w:hAnsi="宋体"/>
                <w:spacing w:val="-2"/>
                <w:szCs w:val="21"/>
                <w:u w:val="single"/>
              </w:rPr>
              <w:t xml:space="preserve">      </w:t>
            </w:r>
            <w:r>
              <w:rPr>
                <w:rFonts w:hint="eastAsia" w:ascii="宋体" w:hAnsi="宋体"/>
                <w:spacing w:val="-2"/>
                <w:szCs w:val="21"/>
              </w:rPr>
              <w:t>分标</w:t>
            </w:r>
          </w:p>
        </w:tc>
        <w:tc>
          <w:tcPr>
            <w:tcW w:w="2126" w:type="dxa"/>
            <w:gridSpan w:val="2"/>
            <w:vAlign w:val="center"/>
          </w:tcPr>
          <w:p>
            <w:pPr>
              <w:spacing w:line="360" w:lineRule="auto"/>
              <w:jc w:val="center"/>
              <w:rPr>
                <w:rFonts w:ascii="宋体"/>
                <w:szCs w:val="21"/>
                <w:lang w:val="zh-CN"/>
              </w:rPr>
            </w:pPr>
          </w:p>
        </w:tc>
        <w:tc>
          <w:tcPr>
            <w:tcW w:w="2839" w:type="dxa"/>
            <w:vAlign w:val="center"/>
          </w:tcPr>
          <w:p>
            <w:pPr>
              <w:spacing w:line="360" w:lineRule="auto"/>
              <w:jc w:val="center"/>
              <w:rPr>
                <w:rFonts w:ascii="宋体"/>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34" w:type="dxa"/>
            <w:vAlign w:val="center"/>
          </w:tcPr>
          <w:p>
            <w:pPr>
              <w:spacing w:line="360" w:lineRule="auto"/>
              <w:jc w:val="center"/>
              <w:rPr>
                <w:rFonts w:ascii="宋体" w:hAnsi="宋体"/>
                <w:spacing w:val="-2"/>
                <w:szCs w:val="21"/>
              </w:rPr>
            </w:pPr>
          </w:p>
        </w:tc>
        <w:tc>
          <w:tcPr>
            <w:tcW w:w="3686" w:type="dxa"/>
            <w:gridSpan w:val="2"/>
            <w:vAlign w:val="center"/>
          </w:tcPr>
          <w:p>
            <w:pPr>
              <w:spacing w:line="360" w:lineRule="auto"/>
              <w:rPr>
                <w:rFonts w:ascii="宋体" w:hAnsi="宋体"/>
                <w:spacing w:val="-2"/>
                <w:szCs w:val="21"/>
                <w:u w:val="single"/>
              </w:rPr>
            </w:pPr>
            <w:r>
              <w:rPr>
                <w:rFonts w:hint="eastAsia" w:ascii="宋体" w:hAnsi="宋体"/>
                <w:spacing w:val="-2"/>
                <w:szCs w:val="21"/>
                <w:u w:val="single"/>
              </w:rPr>
              <w:t xml:space="preserve">      </w:t>
            </w:r>
            <w:r>
              <w:rPr>
                <w:rFonts w:hint="eastAsia" w:ascii="宋体" w:hAnsi="宋体"/>
                <w:spacing w:val="-2"/>
                <w:szCs w:val="21"/>
              </w:rPr>
              <w:t>分标</w:t>
            </w:r>
          </w:p>
        </w:tc>
        <w:tc>
          <w:tcPr>
            <w:tcW w:w="2126" w:type="dxa"/>
            <w:gridSpan w:val="2"/>
            <w:vAlign w:val="center"/>
          </w:tcPr>
          <w:p>
            <w:pPr>
              <w:spacing w:line="360" w:lineRule="auto"/>
              <w:jc w:val="center"/>
              <w:rPr>
                <w:rFonts w:ascii="宋体"/>
                <w:szCs w:val="21"/>
                <w:lang w:val="zh-CN"/>
              </w:rPr>
            </w:pPr>
          </w:p>
        </w:tc>
        <w:tc>
          <w:tcPr>
            <w:tcW w:w="2839" w:type="dxa"/>
            <w:vAlign w:val="center"/>
          </w:tcPr>
          <w:p>
            <w:pPr>
              <w:spacing w:line="360" w:lineRule="auto"/>
              <w:jc w:val="center"/>
              <w:rPr>
                <w:rFonts w:ascii="宋体"/>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734" w:type="dxa"/>
            <w:vAlign w:val="center"/>
          </w:tcPr>
          <w:p>
            <w:pPr>
              <w:spacing w:line="360" w:lineRule="auto"/>
              <w:jc w:val="center"/>
              <w:rPr>
                <w:rFonts w:ascii="宋体" w:hAnsi="宋体"/>
                <w:spacing w:val="-2"/>
                <w:szCs w:val="21"/>
              </w:rPr>
            </w:pPr>
          </w:p>
        </w:tc>
        <w:tc>
          <w:tcPr>
            <w:tcW w:w="3686" w:type="dxa"/>
            <w:gridSpan w:val="2"/>
            <w:vAlign w:val="center"/>
          </w:tcPr>
          <w:p>
            <w:pPr>
              <w:spacing w:line="360" w:lineRule="auto"/>
              <w:rPr>
                <w:rFonts w:ascii="宋体" w:hAnsi="宋体"/>
                <w:spacing w:val="-2"/>
                <w:szCs w:val="21"/>
                <w:u w:val="single"/>
              </w:rPr>
            </w:pPr>
            <w:r>
              <w:rPr>
                <w:rFonts w:hint="eastAsia" w:ascii="宋体" w:hAnsi="宋体"/>
                <w:spacing w:val="-2"/>
                <w:szCs w:val="21"/>
                <w:u w:val="single"/>
              </w:rPr>
              <w:t xml:space="preserve">      </w:t>
            </w:r>
            <w:r>
              <w:rPr>
                <w:rFonts w:hint="eastAsia" w:ascii="宋体" w:hAnsi="宋体"/>
                <w:spacing w:val="-2"/>
                <w:szCs w:val="21"/>
              </w:rPr>
              <w:t>分标</w:t>
            </w:r>
          </w:p>
        </w:tc>
        <w:tc>
          <w:tcPr>
            <w:tcW w:w="2126" w:type="dxa"/>
            <w:gridSpan w:val="2"/>
            <w:vAlign w:val="center"/>
          </w:tcPr>
          <w:p>
            <w:pPr>
              <w:spacing w:line="360" w:lineRule="auto"/>
              <w:jc w:val="center"/>
              <w:rPr>
                <w:rFonts w:ascii="宋体"/>
                <w:szCs w:val="21"/>
                <w:lang w:val="zh-CN"/>
              </w:rPr>
            </w:pPr>
          </w:p>
        </w:tc>
        <w:tc>
          <w:tcPr>
            <w:tcW w:w="2839" w:type="dxa"/>
            <w:vAlign w:val="center"/>
          </w:tcPr>
          <w:p>
            <w:pPr>
              <w:spacing w:line="360" w:lineRule="auto"/>
              <w:jc w:val="center"/>
              <w:rPr>
                <w:rFonts w:ascii="宋体"/>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265" w:type="dxa"/>
            <w:gridSpan w:val="2"/>
            <w:vAlign w:val="center"/>
          </w:tcPr>
          <w:p>
            <w:pPr>
              <w:widowControl/>
              <w:snapToGrid w:val="0"/>
              <w:spacing w:line="360" w:lineRule="auto"/>
              <w:jc w:val="center"/>
              <w:rPr>
                <w:rFonts w:ascii="宋体" w:hAnsi="宋体" w:cs="宋体"/>
                <w:kern w:val="0"/>
                <w:szCs w:val="21"/>
                <w:lang w:val="zh-CN"/>
              </w:rPr>
            </w:pPr>
            <w:r>
              <w:rPr>
                <w:rFonts w:hint="eastAsia" w:ascii="宋体" w:hAnsi="宋体" w:cs="宋体"/>
                <w:kern w:val="0"/>
                <w:szCs w:val="21"/>
                <w:lang w:val="zh-CN"/>
              </w:rPr>
              <w:t>投标总价（人民币，大写）</w:t>
            </w:r>
          </w:p>
        </w:tc>
        <w:tc>
          <w:tcPr>
            <w:tcW w:w="6120" w:type="dxa"/>
            <w:gridSpan w:val="4"/>
            <w:vAlign w:val="center"/>
          </w:tcPr>
          <w:p>
            <w:pPr>
              <w:widowControl/>
              <w:snapToGrid w:val="0"/>
              <w:spacing w:line="360" w:lineRule="auto"/>
              <w:ind w:firstLine="3990" w:firstLineChars="1900"/>
              <w:jc w:val="left"/>
              <w:rPr>
                <w:rFonts w:ascii="宋体" w:hAnsi="宋体" w:cs="宋体"/>
                <w:kern w:val="0"/>
                <w:szCs w:val="21"/>
                <w:lang w:val="zh-CN"/>
              </w:rPr>
            </w:pPr>
            <w:r>
              <w:rPr>
                <w:rFonts w:hint="eastAsia" w:ascii="宋体" w:hAnsi="宋体" w:cs="宋体"/>
                <w:kern w:val="0"/>
                <w:szCs w:val="21"/>
                <w:lang w:val="zh-CN"/>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265" w:type="dxa"/>
            <w:gridSpan w:val="2"/>
            <w:vAlign w:val="center"/>
          </w:tcPr>
          <w:p>
            <w:pPr>
              <w:widowControl/>
              <w:snapToGrid w:val="0"/>
              <w:spacing w:line="360" w:lineRule="auto"/>
              <w:jc w:val="center"/>
              <w:rPr>
                <w:rFonts w:ascii="宋体" w:hAnsi="宋体" w:cs="Verdana"/>
                <w:kern w:val="0"/>
                <w:szCs w:val="21"/>
                <w:lang w:val="zh-CN"/>
              </w:rPr>
            </w:pPr>
            <w:r>
              <w:rPr>
                <w:rFonts w:hint="eastAsia" w:ascii="宋体" w:hAnsi="宋体" w:cs="Verdana"/>
                <w:kern w:val="0"/>
                <w:szCs w:val="21"/>
                <w:lang w:val="zh-CN"/>
              </w:rPr>
              <w:t>投标货物中有无进口产品</w:t>
            </w:r>
          </w:p>
        </w:tc>
        <w:tc>
          <w:tcPr>
            <w:tcW w:w="6120" w:type="dxa"/>
            <w:gridSpan w:val="4"/>
            <w:vAlign w:val="center"/>
          </w:tcPr>
          <w:p>
            <w:pPr>
              <w:widowControl/>
              <w:snapToGrid w:val="0"/>
              <w:spacing w:line="360" w:lineRule="auto"/>
              <w:jc w:val="left"/>
              <w:rPr>
                <w:rFonts w:ascii="宋体" w:hAnsi="宋体" w:cs="Verdana"/>
                <w:kern w:val="0"/>
                <w:szCs w:val="21"/>
                <w:lang w:val="zh-CN"/>
              </w:rPr>
            </w:pPr>
            <w:r>
              <w:rPr>
                <w:rFonts w:hint="eastAsia" w:ascii="宋体" w:hAnsi="宋体" w:cs="Verdana"/>
                <w:kern w:val="0"/>
                <w:szCs w:val="21"/>
                <w:lang w:val="zh-CN"/>
              </w:rPr>
              <w:t>有       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265" w:type="dxa"/>
            <w:gridSpan w:val="2"/>
            <w:vAlign w:val="center"/>
          </w:tcPr>
          <w:p>
            <w:pPr>
              <w:widowControl/>
              <w:snapToGrid w:val="0"/>
              <w:spacing w:line="360" w:lineRule="auto"/>
              <w:jc w:val="center"/>
              <w:rPr>
                <w:rFonts w:ascii="宋体" w:hAnsi="宋体" w:cs="宋体"/>
                <w:kern w:val="0"/>
                <w:szCs w:val="21"/>
                <w:lang w:val="zh-CN"/>
              </w:rPr>
            </w:pPr>
            <w:r>
              <w:rPr>
                <w:rFonts w:hint="eastAsia" w:ascii="宋体" w:hAnsi="宋体" w:cs="宋体"/>
                <w:kern w:val="0"/>
                <w:szCs w:val="21"/>
                <w:lang w:val="zh-CN"/>
              </w:rPr>
              <w:t>供应商是否属于小微型企业</w:t>
            </w:r>
          </w:p>
        </w:tc>
        <w:tc>
          <w:tcPr>
            <w:tcW w:w="6120" w:type="dxa"/>
            <w:gridSpan w:val="4"/>
            <w:vAlign w:val="center"/>
          </w:tcPr>
          <w:p>
            <w:pPr>
              <w:widowControl/>
              <w:snapToGrid w:val="0"/>
              <w:spacing w:line="360" w:lineRule="auto"/>
              <w:jc w:val="left"/>
              <w:rPr>
                <w:rFonts w:ascii="宋体" w:hAnsi="宋体" w:cs="宋体"/>
                <w:kern w:val="0"/>
                <w:szCs w:val="21"/>
                <w:lang w:val="zh-CN"/>
              </w:rPr>
            </w:pPr>
            <w:r>
              <w:rPr>
                <w:rFonts w:hint="eastAsia" w:ascii="宋体" w:hAnsi="宋体" w:cs="宋体"/>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265" w:type="dxa"/>
            <w:gridSpan w:val="2"/>
            <w:vAlign w:val="center"/>
          </w:tcPr>
          <w:p>
            <w:pPr>
              <w:widowControl/>
              <w:snapToGrid w:val="0"/>
              <w:spacing w:line="360" w:lineRule="auto"/>
              <w:jc w:val="center"/>
              <w:rPr>
                <w:rFonts w:ascii="宋体" w:hAnsi="宋体" w:cs="宋体"/>
                <w:kern w:val="0"/>
                <w:szCs w:val="21"/>
                <w:lang w:val="zh-CN"/>
              </w:rPr>
            </w:pPr>
            <w:r>
              <w:rPr>
                <w:rFonts w:hint="eastAsia" w:ascii="宋体" w:hAnsi="宋体" w:cs="宋体"/>
                <w:kern w:val="0"/>
                <w:szCs w:val="21"/>
                <w:lang w:val="zh-CN"/>
              </w:rPr>
              <w:t>供应商是否属于监狱企业</w:t>
            </w:r>
          </w:p>
        </w:tc>
        <w:tc>
          <w:tcPr>
            <w:tcW w:w="6120" w:type="dxa"/>
            <w:gridSpan w:val="4"/>
            <w:vAlign w:val="center"/>
          </w:tcPr>
          <w:p>
            <w:pPr>
              <w:widowControl/>
              <w:snapToGrid w:val="0"/>
              <w:spacing w:line="360" w:lineRule="auto"/>
              <w:jc w:val="left"/>
              <w:rPr>
                <w:rFonts w:ascii="宋体" w:hAnsi="宋体" w:cs="宋体"/>
                <w:kern w:val="0"/>
                <w:szCs w:val="21"/>
                <w:lang w:val="zh-CN"/>
              </w:rPr>
            </w:pPr>
            <w:r>
              <w:rPr>
                <w:rFonts w:hint="eastAsia" w:ascii="宋体" w:hAnsi="宋体" w:cs="宋体"/>
                <w:kern w:val="0"/>
                <w:szCs w:val="21"/>
                <w:lang w:val="zh-CN"/>
              </w:rPr>
              <w:t>是       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265" w:type="dxa"/>
            <w:gridSpan w:val="2"/>
            <w:vAlign w:val="center"/>
          </w:tcPr>
          <w:p>
            <w:pPr>
              <w:widowControl/>
              <w:snapToGrid w:val="0"/>
              <w:spacing w:line="360" w:lineRule="auto"/>
              <w:jc w:val="center"/>
              <w:rPr>
                <w:rFonts w:ascii="宋体" w:hAnsi="宋体" w:cs="宋体"/>
                <w:kern w:val="0"/>
                <w:szCs w:val="21"/>
                <w:lang w:val="zh-CN"/>
              </w:rPr>
            </w:pPr>
            <w:r>
              <w:rPr>
                <w:rFonts w:hint="eastAsia" w:ascii="宋体" w:hAnsi="宋体" w:cs="宋体"/>
                <w:kern w:val="0"/>
                <w:szCs w:val="21"/>
                <w:lang w:val="zh-CN"/>
              </w:rPr>
              <w:t>供应商是否属于残疾人福利单位</w:t>
            </w:r>
          </w:p>
        </w:tc>
        <w:tc>
          <w:tcPr>
            <w:tcW w:w="6120" w:type="dxa"/>
            <w:gridSpan w:val="4"/>
            <w:vAlign w:val="center"/>
          </w:tcPr>
          <w:p>
            <w:pPr>
              <w:widowControl/>
              <w:snapToGrid w:val="0"/>
              <w:spacing w:line="360" w:lineRule="auto"/>
              <w:jc w:val="left"/>
              <w:rPr>
                <w:rFonts w:ascii="宋体" w:hAnsi="宋体" w:cs="宋体"/>
                <w:kern w:val="0"/>
                <w:szCs w:val="21"/>
                <w:lang w:val="zh-CN"/>
              </w:rPr>
            </w:pPr>
            <w:r>
              <w:rPr>
                <w:rFonts w:hint="eastAsia" w:ascii="宋体" w:hAnsi="宋体" w:cs="宋体"/>
                <w:kern w:val="0"/>
                <w:szCs w:val="21"/>
                <w:lang w:val="zh-CN"/>
              </w:rPr>
              <w:t>是       否</w:t>
            </w:r>
          </w:p>
        </w:tc>
      </w:tr>
    </w:tbl>
    <w:p>
      <w:pPr>
        <w:pStyle w:val="17"/>
        <w:spacing w:line="600" w:lineRule="exact"/>
        <w:rPr>
          <w:rFonts w:hAnsi="宋体"/>
        </w:rPr>
      </w:pPr>
    </w:p>
    <w:p>
      <w:pPr>
        <w:pStyle w:val="17"/>
        <w:spacing w:line="600" w:lineRule="exact"/>
        <w:rPr>
          <w:rFonts w:hAnsi="宋体"/>
        </w:rPr>
      </w:pPr>
      <w:r>
        <w:rPr>
          <w:rFonts w:hint="eastAsia" w:hAnsi="宋体"/>
        </w:rPr>
        <w:t>法定代表人或其委托代理人签字（或盖章）：</w:t>
      </w:r>
      <w:r>
        <w:rPr>
          <w:rFonts w:hint="eastAsia" w:hAnsi="宋体"/>
          <w:u w:val="single"/>
        </w:rPr>
        <w:t xml:space="preserve">                  </w:t>
      </w:r>
    </w:p>
    <w:p>
      <w:pPr>
        <w:pStyle w:val="17"/>
        <w:spacing w:line="600" w:lineRule="exact"/>
        <w:rPr>
          <w:rFonts w:hAnsi="宋体"/>
        </w:rPr>
      </w:pPr>
      <w:r>
        <w:rPr>
          <w:rFonts w:hint="eastAsia" w:hAnsi="宋体"/>
        </w:rPr>
        <w:t>投标人（公章）：</w:t>
      </w:r>
      <w:r>
        <w:rPr>
          <w:rFonts w:hint="eastAsia" w:hAnsi="宋体"/>
          <w:u w:val="single"/>
        </w:rPr>
        <w:t xml:space="preserve">                                          </w:t>
      </w:r>
    </w:p>
    <w:p>
      <w:pPr>
        <w:pStyle w:val="17"/>
        <w:rPr>
          <w:rFonts w:hAnsi="宋体"/>
        </w:rPr>
      </w:pPr>
    </w:p>
    <w:p>
      <w:pPr>
        <w:pStyle w:val="17"/>
        <w:ind w:firstLine="422"/>
        <w:rPr>
          <w:rFonts w:hAnsi="宋体"/>
          <w:b/>
          <w:bCs/>
        </w:rPr>
      </w:pPr>
      <w:r>
        <w:rPr>
          <w:rFonts w:hint="eastAsia" w:hAnsi="宋体"/>
          <w:b/>
          <w:bCs/>
        </w:rPr>
        <w:t>注：</w:t>
      </w:r>
    </w:p>
    <w:p>
      <w:pPr>
        <w:widowControl/>
        <w:adjustRightInd w:val="0"/>
        <w:spacing w:line="360" w:lineRule="auto"/>
        <w:ind w:firstLine="420"/>
        <w:jc w:val="left"/>
        <w:rPr>
          <w:rFonts w:ascii="宋体" w:hAnsi="宋体" w:cs="Verdana"/>
          <w:kern w:val="0"/>
          <w:szCs w:val="21"/>
          <w:lang w:val="zh-CN"/>
        </w:rPr>
      </w:pPr>
      <w:r>
        <w:rPr>
          <w:rFonts w:hint="eastAsia" w:ascii="宋体" w:hAnsi="宋体" w:cs="宋体"/>
          <w:b/>
          <w:kern w:val="0"/>
          <w:szCs w:val="21"/>
          <w:lang w:val="zh-CN"/>
        </w:rPr>
        <w:t>1、</w:t>
      </w:r>
      <w:r>
        <w:rPr>
          <w:rFonts w:hint="eastAsia" w:ascii="宋体" w:hAnsi="宋体" w:cs="Verdana"/>
          <w:kern w:val="0"/>
          <w:szCs w:val="21"/>
          <w:lang w:val="zh-CN"/>
        </w:rPr>
        <w:t>在“投标货物中有无进口产品”栏后“有”或“无”上打“√”。</w:t>
      </w:r>
    </w:p>
    <w:p>
      <w:pPr>
        <w:widowControl/>
        <w:adjustRightInd w:val="0"/>
        <w:spacing w:line="360" w:lineRule="auto"/>
        <w:ind w:firstLine="420" w:firstLineChars="200"/>
        <w:jc w:val="left"/>
        <w:rPr>
          <w:rFonts w:ascii="黑体" w:hAnsi="宋体" w:eastAsia="黑体" w:cs="宋体"/>
          <w:b/>
          <w:kern w:val="0"/>
          <w:sz w:val="36"/>
          <w:szCs w:val="36"/>
          <w:lang w:val="zh-CN"/>
        </w:rPr>
      </w:pPr>
      <w:r>
        <w:rPr>
          <w:rFonts w:hint="eastAsia" w:ascii="宋体" w:hAnsi="宋体" w:cs="Verdana"/>
          <w:kern w:val="0"/>
          <w:szCs w:val="21"/>
          <w:lang w:val="zh-CN"/>
        </w:rPr>
        <w:t>2、在“供应商是否属于小和微型企业”、“</w:t>
      </w:r>
      <w:r>
        <w:rPr>
          <w:rFonts w:hint="eastAsia" w:ascii="宋体" w:hAnsi="宋体" w:cs="宋体"/>
          <w:kern w:val="0"/>
          <w:szCs w:val="21"/>
          <w:lang w:val="zh-CN"/>
        </w:rPr>
        <w:t>供应商是否属于监狱企业</w:t>
      </w:r>
      <w:r>
        <w:rPr>
          <w:rFonts w:hint="eastAsia" w:ascii="宋体" w:hAnsi="宋体" w:cs="Verdana"/>
          <w:kern w:val="0"/>
          <w:szCs w:val="21"/>
          <w:lang w:val="zh-CN"/>
        </w:rPr>
        <w:t>”、“</w:t>
      </w:r>
      <w:r>
        <w:rPr>
          <w:rFonts w:hint="eastAsia" w:ascii="宋体" w:hAnsi="宋体" w:cs="宋体"/>
          <w:kern w:val="0"/>
          <w:szCs w:val="21"/>
          <w:lang w:val="zh-CN"/>
        </w:rPr>
        <w:t>供应商是否属于残疾人福利单位</w:t>
      </w:r>
      <w:r>
        <w:rPr>
          <w:rFonts w:hint="eastAsia" w:ascii="宋体" w:hAnsi="宋体" w:cs="Verdana"/>
          <w:kern w:val="0"/>
          <w:szCs w:val="21"/>
          <w:lang w:val="zh-CN"/>
        </w:rPr>
        <w:t>”栏后“是”或“否”上打“√”。</w:t>
      </w:r>
    </w:p>
    <w:p>
      <w:pPr>
        <w:pStyle w:val="17"/>
        <w:ind w:firstLine="422"/>
        <w:rPr>
          <w:rFonts w:hAnsi="宋体"/>
          <w:b/>
          <w:bCs/>
        </w:rPr>
      </w:pPr>
      <w:r>
        <w:rPr>
          <w:rFonts w:hint="eastAsia" w:hAnsi="宋体"/>
          <w:b/>
          <w:bCs/>
        </w:rPr>
        <w:t>未按照本开标一览表的格式要求填写投标报价表的，将造成非实质响应投标，从而导致该投标人投标无效。</w:t>
      </w:r>
    </w:p>
    <w:p/>
    <w:p>
      <w:pPr>
        <w:pStyle w:val="26"/>
        <w:jc w:val="left"/>
        <w:rPr>
          <w:rStyle w:val="98"/>
          <w:rFonts w:ascii="宋体" w:hAnsi="宋体"/>
          <w:b w:val="0"/>
          <w:bCs w:val="0"/>
          <w:sz w:val="21"/>
          <w:szCs w:val="21"/>
        </w:rPr>
      </w:pPr>
    </w:p>
    <w:p>
      <w:pPr>
        <w:pStyle w:val="26"/>
        <w:jc w:val="left"/>
        <w:rPr>
          <w:rStyle w:val="98"/>
          <w:rFonts w:ascii="宋体" w:hAnsi="宋体"/>
          <w:b w:val="0"/>
          <w:bCs w:val="0"/>
          <w:sz w:val="21"/>
          <w:szCs w:val="21"/>
        </w:rPr>
      </w:pPr>
    </w:p>
    <w:p>
      <w:pPr>
        <w:pStyle w:val="26"/>
        <w:jc w:val="left"/>
        <w:rPr>
          <w:rStyle w:val="98"/>
          <w:rFonts w:ascii="宋体" w:hAnsi="宋体"/>
          <w:b w:val="0"/>
          <w:bCs w:val="0"/>
          <w:sz w:val="21"/>
          <w:szCs w:val="21"/>
        </w:rPr>
      </w:pPr>
    </w:p>
    <w:p>
      <w:pPr>
        <w:pStyle w:val="26"/>
        <w:jc w:val="left"/>
        <w:rPr>
          <w:rFonts w:ascii="宋体" w:hAnsi="宋体"/>
          <w:sz w:val="21"/>
          <w:szCs w:val="21"/>
        </w:rPr>
      </w:pPr>
      <w:r>
        <w:rPr>
          <w:rFonts w:hint="eastAsia" w:ascii="宋体" w:hAnsi="宋体"/>
          <w:sz w:val="21"/>
          <w:szCs w:val="21"/>
        </w:rPr>
        <w:t>格式3：投标报价表</w:t>
      </w:r>
    </w:p>
    <w:p>
      <w:pPr>
        <w:pStyle w:val="17"/>
        <w:ind w:firstLine="643"/>
        <w:jc w:val="center"/>
        <w:rPr>
          <w:rFonts w:hAnsi="宋体"/>
          <w:b/>
          <w:sz w:val="32"/>
        </w:rPr>
      </w:pPr>
      <w:r>
        <w:rPr>
          <w:rFonts w:hint="eastAsia" w:hAnsi="宋体"/>
          <w:b/>
          <w:sz w:val="32"/>
        </w:rPr>
        <w:t>报价明细表（格式）</w:t>
      </w:r>
    </w:p>
    <w:p>
      <w:pPr>
        <w:pStyle w:val="17"/>
        <w:rPr>
          <w:rFonts w:hAnsi="宋体"/>
        </w:rPr>
      </w:pPr>
      <w:r>
        <w:rPr>
          <w:rFonts w:hint="eastAsia" w:hAnsi="宋体"/>
          <w:u w:val="single"/>
        </w:rPr>
        <w:t xml:space="preserve">     </w:t>
      </w:r>
      <w:r>
        <w:rPr>
          <w:rFonts w:hint="eastAsia" w:hAnsi="宋体"/>
        </w:rPr>
        <w:t>分标（如无分标，不必注明）</w:t>
      </w:r>
    </w:p>
    <w:tbl>
      <w:tblPr>
        <w:tblStyle w:val="41"/>
        <w:tblW w:w="9851"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70"/>
        <w:gridCol w:w="567"/>
        <w:gridCol w:w="1843"/>
        <w:gridCol w:w="1843"/>
        <w:gridCol w:w="850"/>
        <w:gridCol w:w="1276"/>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2" w:hRule="atLeast"/>
        </w:trPr>
        <w:tc>
          <w:tcPr>
            <w:tcW w:w="525" w:type="dxa"/>
            <w:vAlign w:val="center"/>
          </w:tcPr>
          <w:p>
            <w:pPr>
              <w:pStyle w:val="17"/>
              <w:jc w:val="center"/>
              <w:rPr>
                <w:rFonts w:hAnsi="宋体"/>
                <w:spacing w:val="-20"/>
              </w:rPr>
            </w:pPr>
            <w:r>
              <w:rPr>
                <w:rFonts w:hint="eastAsia" w:hAnsi="宋体"/>
                <w:spacing w:val="-20"/>
              </w:rPr>
              <w:t>项号</w:t>
            </w:r>
          </w:p>
        </w:tc>
        <w:tc>
          <w:tcPr>
            <w:tcW w:w="970" w:type="dxa"/>
            <w:vAlign w:val="center"/>
          </w:tcPr>
          <w:p>
            <w:pPr>
              <w:pStyle w:val="17"/>
              <w:jc w:val="center"/>
              <w:rPr>
                <w:rFonts w:hAnsi="宋体"/>
                <w:spacing w:val="-20"/>
              </w:rPr>
            </w:pPr>
            <w:r>
              <w:rPr>
                <w:rFonts w:hint="eastAsia" w:hAnsi="宋体"/>
                <w:spacing w:val="-20"/>
              </w:rPr>
              <w:t>货物名称</w:t>
            </w:r>
          </w:p>
        </w:tc>
        <w:tc>
          <w:tcPr>
            <w:tcW w:w="567" w:type="dxa"/>
            <w:vAlign w:val="center"/>
          </w:tcPr>
          <w:p>
            <w:pPr>
              <w:pStyle w:val="17"/>
              <w:jc w:val="center"/>
              <w:rPr>
                <w:rFonts w:hAnsi="宋体"/>
                <w:spacing w:val="-20"/>
              </w:rPr>
            </w:pPr>
            <w:r>
              <w:rPr>
                <w:rFonts w:hint="eastAsia" w:hAnsi="宋体"/>
                <w:spacing w:val="-20"/>
              </w:rPr>
              <w:t>数量</w:t>
            </w:r>
          </w:p>
          <w:p>
            <w:pPr>
              <w:pStyle w:val="17"/>
              <w:jc w:val="center"/>
              <w:rPr>
                <w:rFonts w:hAnsi="宋体"/>
                <w:spacing w:val="-20"/>
              </w:rPr>
            </w:pPr>
            <w:r>
              <w:rPr>
                <w:rFonts w:hint="eastAsia" w:hAnsi="宋体"/>
                <w:spacing w:val="-20"/>
              </w:rPr>
              <w:t>①</w:t>
            </w:r>
          </w:p>
        </w:tc>
        <w:tc>
          <w:tcPr>
            <w:tcW w:w="1843" w:type="dxa"/>
            <w:vAlign w:val="center"/>
          </w:tcPr>
          <w:p>
            <w:pPr>
              <w:pStyle w:val="17"/>
              <w:jc w:val="center"/>
              <w:rPr>
                <w:rFonts w:hAnsi="宋体"/>
              </w:rPr>
            </w:pPr>
            <w:r>
              <w:rPr>
                <w:rFonts w:hint="eastAsia" w:hAnsi="宋体"/>
              </w:rPr>
              <w:t>货物全称、品牌、</w:t>
            </w:r>
          </w:p>
          <w:p>
            <w:pPr>
              <w:pStyle w:val="17"/>
              <w:jc w:val="center"/>
              <w:rPr>
                <w:rFonts w:hAnsi="宋体"/>
              </w:rPr>
            </w:pPr>
            <w:r>
              <w:rPr>
                <w:rFonts w:hint="eastAsia" w:hAnsi="宋体"/>
              </w:rPr>
              <w:t>生产厂家及国别</w:t>
            </w:r>
          </w:p>
        </w:tc>
        <w:tc>
          <w:tcPr>
            <w:tcW w:w="1843" w:type="dxa"/>
            <w:vAlign w:val="center"/>
          </w:tcPr>
          <w:p>
            <w:pPr>
              <w:pStyle w:val="17"/>
              <w:jc w:val="center"/>
              <w:rPr>
                <w:rFonts w:hAnsi="宋体"/>
              </w:rPr>
            </w:pPr>
            <w:r>
              <w:rPr>
                <w:rFonts w:hint="eastAsia" w:hAnsi="宋体"/>
              </w:rPr>
              <w:t>型号规格、技术参数、性能配置</w:t>
            </w:r>
          </w:p>
        </w:tc>
        <w:tc>
          <w:tcPr>
            <w:tcW w:w="850" w:type="dxa"/>
            <w:vAlign w:val="center"/>
          </w:tcPr>
          <w:p>
            <w:pPr>
              <w:pStyle w:val="17"/>
              <w:jc w:val="center"/>
              <w:rPr>
                <w:rFonts w:hAnsi="宋体"/>
              </w:rPr>
            </w:pPr>
            <w:r>
              <w:rPr>
                <w:rFonts w:hint="eastAsia" w:hAnsi="宋体"/>
              </w:rPr>
              <w:t>单价</w:t>
            </w:r>
          </w:p>
          <w:p>
            <w:pPr>
              <w:pStyle w:val="17"/>
              <w:jc w:val="center"/>
              <w:rPr>
                <w:rFonts w:hAnsi="宋体"/>
              </w:rPr>
            </w:pPr>
            <w:r>
              <w:rPr>
                <w:rFonts w:hint="eastAsia" w:hAnsi="宋体"/>
              </w:rPr>
              <w:t>(元)</w:t>
            </w:r>
          </w:p>
          <w:p>
            <w:pPr>
              <w:pStyle w:val="17"/>
              <w:jc w:val="center"/>
              <w:rPr>
                <w:rFonts w:hAnsi="宋体"/>
              </w:rPr>
            </w:pPr>
            <w:r>
              <w:rPr>
                <w:rFonts w:hint="eastAsia" w:hAnsi="宋体"/>
              </w:rPr>
              <w:t>②</w:t>
            </w:r>
          </w:p>
        </w:tc>
        <w:tc>
          <w:tcPr>
            <w:tcW w:w="1276" w:type="dxa"/>
            <w:vAlign w:val="center"/>
          </w:tcPr>
          <w:p>
            <w:pPr>
              <w:pStyle w:val="17"/>
              <w:jc w:val="center"/>
              <w:rPr>
                <w:rFonts w:hAnsi="宋体"/>
              </w:rPr>
            </w:pPr>
            <w:r>
              <w:rPr>
                <w:rFonts w:hint="eastAsia" w:hAnsi="宋体"/>
              </w:rPr>
              <w:t>单项合价</w:t>
            </w:r>
          </w:p>
          <w:p>
            <w:pPr>
              <w:pStyle w:val="17"/>
              <w:jc w:val="center"/>
              <w:rPr>
                <w:rFonts w:hAnsi="宋体"/>
              </w:rPr>
            </w:pPr>
            <w:r>
              <w:rPr>
                <w:rFonts w:hint="eastAsia" w:hAnsi="宋体"/>
              </w:rPr>
              <w:t>（元）</w:t>
            </w:r>
          </w:p>
          <w:p>
            <w:pPr>
              <w:pStyle w:val="17"/>
              <w:jc w:val="center"/>
              <w:rPr>
                <w:rFonts w:hAnsi="宋体"/>
              </w:rPr>
            </w:pPr>
            <w:r>
              <w:rPr>
                <w:rFonts w:hint="eastAsia" w:hAnsi="宋体"/>
              </w:rPr>
              <w:t>③</w:t>
            </w:r>
            <w:r>
              <w:rPr>
                <w:rFonts w:hAnsi="宋体"/>
              </w:rPr>
              <w:t>=</w:t>
            </w:r>
            <w:r>
              <w:rPr>
                <w:rFonts w:hint="eastAsia" w:hAnsi="宋体"/>
              </w:rPr>
              <w:t>①×②</w:t>
            </w:r>
          </w:p>
        </w:tc>
        <w:tc>
          <w:tcPr>
            <w:tcW w:w="1977" w:type="dxa"/>
            <w:vAlign w:val="center"/>
          </w:tcPr>
          <w:p>
            <w:pPr>
              <w:pStyle w:val="177"/>
              <w:tabs>
                <w:tab w:val="left" w:pos="1260"/>
              </w:tabs>
              <w:spacing w:before="40" w:after="40"/>
              <w:jc w:val="center"/>
              <w:rPr>
                <w:rFonts w:hAnsi="宋体" w:cs="宋体"/>
                <w:color w:val="FF0000"/>
                <w:kern w:val="0"/>
                <w:szCs w:val="21"/>
              </w:rPr>
            </w:pPr>
            <w:r>
              <w:rPr>
                <w:rFonts w:hint="eastAsia" w:hAnsi="宋体"/>
              </w:rPr>
              <w:t>备注:</w:t>
            </w:r>
            <w:r>
              <w:rPr>
                <w:rFonts w:hint="eastAsia" w:hAnsi="宋体" w:cs="宋体"/>
                <w:b/>
                <w:kern w:val="0"/>
                <w:szCs w:val="21"/>
              </w:rPr>
              <w:t xml:space="preserve"> </w:t>
            </w:r>
            <w:r>
              <w:rPr>
                <w:rFonts w:hint="eastAsia" w:hAnsi="宋体" w:cs="宋体"/>
                <w:color w:val="FF0000"/>
                <w:kern w:val="0"/>
                <w:szCs w:val="21"/>
              </w:rPr>
              <w:t>标明提供产品制造商</w:t>
            </w:r>
          </w:p>
          <w:p>
            <w:pPr>
              <w:pStyle w:val="17"/>
              <w:jc w:val="center"/>
              <w:rPr>
                <w:rFonts w:hAnsi="宋体"/>
              </w:rPr>
            </w:pPr>
            <w:r>
              <w:rPr>
                <w:rFonts w:hint="eastAsia" w:ascii="Times New Roman" w:hAnsi="宋体" w:cs="宋体"/>
                <w:color w:val="FF0000"/>
                <w:kern w:val="0"/>
                <w:szCs w:val="21"/>
              </w:rPr>
              <w:t>企业类型【“制造商企业类型”栏填写内容为“小型”、“微型”、“监狱企业”或“残疾人福利性单位”。】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25" w:type="dxa"/>
            <w:vAlign w:val="center"/>
          </w:tcPr>
          <w:p>
            <w:pPr>
              <w:pStyle w:val="17"/>
              <w:rPr>
                <w:rFonts w:hAnsi="宋体"/>
              </w:rPr>
            </w:pPr>
            <w:r>
              <w:rPr>
                <w:rFonts w:hint="eastAsia" w:hAnsi="宋体"/>
              </w:rPr>
              <w:t>1</w:t>
            </w:r>
          </w:p>
        </w:tc>
        <w:tc>
          <w:tcPr>
            <w:tcW w:w="970" w:type="dxa"/>
            <w:vAlign w:val="center"/>
          </w:tcPr>
          <w:p>
            <w:pPr>
              <w:pStyle w:val="17"/>
              <w:rPr>
                <w:rFonts w:hAnsi="宋体"/>
              </w:rPr>
            </w:pPr>
          </w:p>
        </w:tc>
        <w:tc>
          <w:tcPr>
            <w:tcW w:w="567" w:type="dxa"/>
            <w:vAlign w:val="center"/>
          </w:tcPr>
          <w:p>
            <w:pPr>
              <w:pStyle w:val="17"/>
              <w:rPr>
                <w:rFonts w:hAnsi="宋体"/>
              </w:rPr>
            </w:pPr>
          </w:p>
        </w:tc>
        <w:tc>
          <w:tcPr>
            <w:tcW w:w="1843" w:type="dxa"/>
            <w:vAlign w:val="center"/>
          </w:tcPr>
          <w:p>
            <w:pPr>
              <w:pStyle w:val="17"/>
              <w:rPr>
                <w:rFonts w:hAnsi="宋体"/>
              </w:rPr>
            </w:pPr>
          </w:p>
        </w:tc>
        <w:tc>
          <w:tcPr>
            <w:tcW w:w="1843" w:type="dxa"/>
            <w:vAlign w:val="center"/>
          </w:tcPr>
          <w:p>
            <w:pPr>
              <w:pStyle w:val="17"/>
              <w:rPr>
                <w:rFonts w:hAnsi="宋体"/>
              </w:rPr>
            </w:pPr>
          </w:p>
        </w:tc>
        <w:tc>
          <w:tcPr>
            <w:tcW w:w="850" w:type="dxa"/>
            <w:vAlign w:val="center"/>
          </w:tcPr>
          <w:p>
            <w:pPr>
              <w:pStyle w:val="17"/>
              <w:rPr>
                <w:rFonts w:hAnsi="宋体"/>
              </w:rPr>
            </w:pPr>
          </w:p>
        </w:tc>
        <w:tc>
          <w:tcPr>
            <w:tcW w:w="1276" w:type="dxa"/>
            <w:vAlign w:val="center"/>
          </w:tcPr>
          <w:p>
            <w:pPr>
              <w:pStyle w:val="17"/>
              <w:rPr>
                <w:rFonts w:hAnsi="宋体"/>
              </w:rPr>
            </w:pPr>
          </w:p>
        </w:tc>
        <w:tc>
          <w:tcPr>
            <w:tcW w:w="1977"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25" w:type="dxa"/>
            <w:vAlign w:val="center"/>
          </w:tcPr>
          <w:p>
            <w:pPr>
              <w:pStyle w:val="17"/>
              <w:rPr>
                <w:rFonts w:hAnsi="宋体"/>
              </w:rPr>
            </w:pPr>
            <w:r>
              <w:rPr>
                <w:rFonts w:hint="eastAsia" w:hAnsi="宋体"/>
              </w:rPr>
              <w:t>…</w:t>
            </w:r>
          </w:p>
        </w:tc>
        <w:tc>
          <w:tcPr>
            <w:tcW w:w="970" w:type="dxa"/>
            <w:vAlign w:val="center"/>
          </w:tcPr>
          <w:p>
            <w:pPr>
              <w:pStyle w:val="17"/>
              <w:rPr>
                <w:rFonts w:hAnsi="宋体"/>
              </w:rPr>
            </w:pPr>
          </w:p>
        </w:tc>
        <w:tc>
          <w:tcPr>
            <w:tcW w:w="567" w:type="dxa"/>
            <w:vAlign w:val="center"/>
          </w:tcPr>
          <w:p>
            <w:pPr>
              <w:pStyle w:val="17"/>
              <w:rPr>
                <w:rFonts w:hAnsi="宋体"/>
              </w:rPr>
            </w:pPr>
          </w:p>
        </w:tc>
        <w:tc>
          <w:tcPr>
            <w:tcW w:w="1843" w:type="dxa"/>
            <w:vAlign w:val="center"/>
          </w:tcPr>
          <w:p>
            <w:pPr>
              <w:pStyle w:val="17"/>
              <w:rPr>
                <w:rFonts w:hAnsi="宋体"/>
              </w:rPr>
            </w:pPr>
          </w:p>
        </w:tc>
        <w:tc>
          <w:tcPr>
            <w:tcW w:w="1843" w:type="dxa"/>
            <w:vAlign w:val="center"/>
          </w:tcPr>
          <w:p>
            <w:pPr>
              <w:pStyle w:val="17"/>
              <w:rPr>
                <w:rFonts w:hAnsi="宋体"/>
              </w:rPr>
            </w:pPr>
          </w:p>
        </w:tc>
        <w:tc>
          <w:tcPr>
            <w:tcW w:w="850" w:type="dxa"/>
            <w:vAlign w:val="center"/>
          </w:tcPr>
          <w:p>
            <w:pPr>
              <w:pStyle w:val="17"/>
              <w:rPr>
                <w:rFonts w:hAnsi="宋体"/>
              </w:rPr>
            </w:pPr>
          </w:p>
        </w:tc>
        <w:tc>
          <w:tcPr>
            <w:tcW w:w="1276" w:type="dxa"/>
            <w:vAlign w:val="center"/>
          </w:tcPr>
          <w:p>
            <w:pPr>
              <w:pStyle w:val="17"/>
              <w:rPr>
                <w:rFonts w:hAnsi="宋体"/>
              </w:rPr>
            </w:pPr>
          </w:p>
        </w:tc>
        <w:tc>
          <w:tcPr>
            <w:tcW w:w="1977"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525" w:type="dxa"/>
            <w:vAlign w:val="center"/>
          </w:tcPr>
          <w:p>
            <w:pPr>
              <w:pStyle w:val="17"/>
              <w:rPr>
                <w:rFonts w:hAnsi="宋体"/>
              </w:rPr>
            </w:pPr>
            <w:r>
              <w:rPr>
                <w:rFonts w:hAnsi="宋体"/>
              </w:rPr>
              <w:t>N</w:t>
            </w:r>
          </w:p>
        </w:tc>
        <w:tc>
          <w:tcPr>
            <w:tcW w:w="970" w:type="dxa"/>
            <w:vAlign w:val="center"/>
          </w:tcPr>
          <w:p>
            <w:pPr>
              <w:pStyle w:val="17"/>
              <w:rPr>
                <w:rFonts w:hAnsi="宋体"/>
              </w:rPr>
            </w:pPr>
          </w:p>
        </w:tc>
        <w:tc>
          <w:tcPr>
            <w:tcW w:w="567" w:type="dxa"/>
            <w:vAlign w:val="center"/>
          </w:tcPr>
          <w:p>
            <w:pPr>
              <w:pStyle w:val="17"/>
              <w:rPr>
                <w:rFonts w:hAnsi="宋体"/>
              </w:rPr>
            </w:pPr>
          </w:p>
        </w:tc>
        <w:tc>
          <w:tcPr>
            <w:tcW w:w="1843" w:type="dxa"/>
            <w:vAlign w:val="center"/>
          </w:tcPr>
          <w:p>
            <w:pPr>
              <w:pStyle w:val="17"/>
              <w:rPr>
                <w:rFonts w:hAnsi="宋体"/>
              </w:rPr>
            </w:pPr>
          </w:p>
        </w:tc>
        <w:tc>
          <w:tcPr>
            <w:tcW w:w="1843" w:type="dxa"/>
            <w:vAlign w:val="center"/>
          </w:tcPr>
          <w:p>
            <w:pPr>
              <w:pStyle w:val="17"/>
              <w:rPr>
                <w:rFonts w:hAnsi="宋体"/>
              </w:rPr>
            </w:pPr>
          </w:p>
        </w:tc>
        <w:tc>
          <w:tcPr>
            <w:tcW w:w="850" w:type="dxa"/>
            <w:vAlign w:val="center"/>
          </w:tcPr>
          <w:p>
            <w:pPr>
              <w:pStyle w:val="17"/>
              <w:rPr>
                <w:rFonts w:hAnsi="宋体"/>
              </w:rPr>
            </w:pPr>
          </w:p>
        </w:tc>
        <w:tc>
          <w:tcPr>
            <w:tcW w:w="1276" w:type="dxa"/>
            <w:vAlign w:val="center"/>
          </w:tcPr>
          <w:p>
            <w:pPr>
              <w:pStyle w:val="17"/>
              <w:rPr>
                <w:rFonts w:hAnsi="宋体"/>
              </w:rPr>
            </w:pPr>
          </w:p>
        </w:tc>
        <w:tc>
          <w:tcPr>
            <w:tcW w:w="1977" w:type="dxa"/>
            <w:vAlign w:val="center"/>
          </w:tcPr>
          <w:p>
            <w:pPr>
              <w:pStyle w:val="17"/>
              <w:rPr>
                <w:rFonts w:hAnsi="宋体"/>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atLeast"/>
        </w:trPr>
        <w:tc>
          <w:tcPr>
            <w:tcW w:w="9851" w:type="dxa"/>
            <w:gridSpan w:val="8"/>
            <w:vAlign w:val="center"/>
          </w:tcPr>
          <w:p>
            <w:pPr>
              <w:pStyle w:val="17"/>
              <w:rPr>
                <w:rFonts w:hAnsi="宋体"/>
                <w:b/>
                <w:spacing w:val="-6"/>
              </w:rPr>
            </w:pPr>
            <w:r>
              <w:rPr>
                <w:rFonts w:hint="eastAsia" w:hAnsi="宋体"/>
                <w:b/>
                <w:spacing w:val="-6"/>
              </w:rPr>
              <w:t>总报价（大写）：人民币          元（¥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9" w:hRule="atLeast"/>
        </w:trPr>
        <w:tc>
          <w:tcPr>
            <w:tcW w:w="9851" w:type="dxa"/>
            <w:gridSpan w:val="8"/>
            <w:vAlign w:val="center"/>
          </w:tcPr>
          <w:p>
            <w:pPr>
              <w:pStyle w:val="17"/>
              <w:rPr>
                <w:rFonts w:hAnsi="宋体"/>
                <w:b/>
                <w:spacing w:val="-6"/>
              </w:rPr>
            </w:pPr>
            <w:r>
              <w:rPr>
                <w:rFonts w:hint="eastAsia" w:hAnsi="宋体" w:cs="宋体"/>
                <w:b/>
                <w:kern w:val="0"/>
                <w:szCs w:val="21"/>
                <w:lang w:val="zh-CN"/>
              </w:rPr>
              <w:t>其中，</w:t>
            </w:r>
            <w:r>
              <w:rPr>
                <w:rFonts w:hint="eastAsia" w:hAnsi="宋体"/>
                <w:b/>
              </w:rPr>
              <w:t>投标报价中包含的</w:t>
            </w:r>
            <w:r>
              <w:rPr>
                <w:rFonts w:hint="eastAsia" w:hAnsi="宋体"/>
                <w:b/>
                <w:color w:val="FF0000"/>
              </w:rPr>
              <w:t>小型、微型企业、监狱企业、残疾人福利单位产品金额</w:t>
            </w:r>
            <w:r>
              <w:rPr>
                <w:rFonts w:hint="eastAsia" w:hAnsi="宋体"/>
                <w:b/>
              </w:rPr>
              <w:t>的价格合计为：【</w:t>
            </w:r>
            <w:r>
              <w:rPr>
                <w:rFonts w:hint="eastAsia" w:hAnsi="宋体" w:cs="宋体"/>
                <w:b/>
                <w:kern w:val="0"/>
                <w:szCs w:val="21"/>
                <w:lang w:val="zh-CN"/>
              </w:rPr>
              <w:t>大写：         元（￥     元）</w:t>
            </w:r>
            <w:r>
              <w:rPr>
                <w:rFonts w:hint="eastAsia"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trPr>
        <w:tc>
          <w:tcPr>
            <w:tcW w:w="9851" w:type="dxa"/>
            <w:gridSpan w:val="8"/>
            <w:vAlign w:val="center"/>
          </w:tcPr>
          <w:p>
            <w:pPr>
              <w:pStyle w:val="17"/>
              <w:rPr>
                <w:rFonts w:hAnsi="宋体" w:cs="宋体"/>
                <w:kern w:val="0"/>
                <w:szCs w:val="21"/>
                <w:lang w:val="zh-CN"/>
              </w:rPr>
            </w:pPr>
            <w:r>
              <w:rPr>
                <w:rFonts w:hint="eastAsia" w:hAnsi="宋体"/>
                <w:spacing w:val="-6"/>
              </w:rPr>
              <w:t>1.供应商是否属于（视同）小、微型企业:</w:t>
            </w:r>
            <w:r>
              <w:rPr>
                <w:rFonts w:hint="eastAsia" w:hAnsi="宋体" w:cs="宋体"/>
                <w:kern w:val="0"/>
                <w:szCs w:val="21"/>
                <w:lang w:val="zh-CN"/>
              </w:rPr>
              <w:t xml:space="preserve">        是       否</w:t>
            </w:r>
          </w:p>
          <w:p>
            <w:pPr>
              <w:pStyle w:val="17"/>
              <w:rPr>
                <w:rFonts w:hAnsi="宋体" w:cs="宋体"/>
                <w:kern w:val="0"/>
                <w:szCs w:val="21"/>
                <w:lang w:val="zh-CN"/>
              </w:rPr>
            </w:pPr>
            <w:r>
              <w:rPr>
                <w:rFonts w:hint="eastAsia" w:hAnsi="宋体" w:cs="宋体"/>
                <w:kern w:val="0"/>
                <w:szCs w:val="21"/>
                <w:lang w:val="zh-CN"/>
              </w:rPr>
              <w:t>【说明：在“供应商是否属于</w:t>
            </w:r>
            <w:r>
              <w:rPr>
                <w:rFonts w:hint="eastAsia" w:hAnsi="宋体"/>
                <w:spacing w:val="-6"/>
              </w:rPr>
              <w:t>（视同）</w:t>
            </w:r>
            <w:r>
              <w:rPr>
                <w:rFonts w:hint="eastAsia" w:hAnsi="宋体" w:cs="宋体"/>
                <w:kern w:val="0"/>
                <w:szCs w:val="21"/>
                <w:lang w:val="zh-CN"/>
              </w:rPr>
              <w:t>小和微型企业”栏后“是”或“否”上打“√”。】</w:t>
            </w:r>
          </w:p>
          <w:p>
            <w:pPr>
              <w:pStyle w:val="17"/>
              <w:rPr>
                <w:rFonts w:hAnsi="宋体" w:cs="宋体"/>
                <w:color w:val="FF0000"/>
                <w:kern w:val="0"/>
                <w:szCs w:val="21"/>
                <w:lang w:val="zh-CN"/>
              </w:rPr>
            </w:pPr>
            <w:r>
              <w:rPr>
                <w:rFonts w:hint="eastAsia" w:hAnsi="宋体"/>
                <w:color w:val="FF0000"/>
                <w:spacing w:val="-6"/>
              </w:rPr>
              <w:t>2. 供应商是否属于（视同）监狱企业:</w:t>
            </w:r>
            <w:r>
              <w:rPr>
                <w:rFonts w:hint="eastAsia" w:hAnsi="宋体" w:cs="宋体"/>
                <w:color w:val="FF0000"/>
                <w:kern w:val="0"/>
                <w:szCs w:val="21"/>
                <w:lang w:val="zh-CN"/>
              </w:rPr>
              <w:t xml:space="preserve">        是       否</w:t>
            </w:r>
          </w:p>
          <w:p>
            <w:pPr>
              <w:pStyle w:val="17"/>
              <w:rPr>
                <w:rFonts w:hAnsi="宋体" w:cs="宋体"/>
                <w:color w:val="FF0000"/>
                <w:kern w:val="0"/>
                <w:szCs w:val="21"/>
                <w:lang w:val="zh-CN"/>
              </w:rPr>
            </w:pPr>
            <w:r>
              <w:rPr>
                <w:rFonts w:hint="eastAsia" w:hAnsi="宋体" w:cs="宋体"/>
                <w:color w:val="FF0000"/>
                <w:kern w:val="0"/>
                <w:szCs w:val="21"/>
                <w:lang w:val="zh-CN"/>
              </w:rPr>
              <w:t>【说明：在“供应商是否属于</w:t>
            </w:r>
            <w:r>
              <w:rPr>
                <w:rFonts w:hint="eastAsia" w:hAnsi="宋体"/>
                <w:color w:val="FF0000"/>
                <w:spacing w:val="-6"/>
              </w:rPr>
              <w:t>（视同）监狱企业</w:t>
            </w:r>
            <w:r>
              <w:rPr>
                <w:rFonts w:hint="eastAsia" w:hAnsi="宋体" w:cs="宋体"/>
                <w:color w:val="FF0000"/>
                <w:kern w:val="0"/>
                <w:szCs w:val="21"/>
                <w:lang w:val="zh-CN"/>
              </w:rPr>
              <w:t>”栏后“是”或“否”上打“√”。】</w:t>
            </w:r>
          </w:p>
          <w:p>
            <w:pPr>
              <w:pStyle w:val="17"/>
              <w:rPr>
                <w:rFonts w:hAnsi="宋体" w:cs="宋体"/>
                <w:color w:val="FF0000"/>
                <w:kern w:val="0"/>
                <w:szCs w:val="21"/>
                <w:lang w:val="zh-CN"/>
              </w:rPr>
            </w:pPr>
            <w:r>
              <w:rPr>
                <w:rFonts w:hint="eastAsia" w:hAnsi="宋体"/>
                <w:color w:val="FF0000"/>
                <w:spacing w:val="-6"/>
              </w:rPr>
              <w:t>3. 供应商是否属于（视同）残疾人福利单位:</w:t>
            </w:r>
            <w:r>
              <w:rPr>
                <w:rFonts w:hint="eastAsia" w:hAnsi="宋体" w:cs="宋体"/>
                <w:color w:val="FF0000"/>
                <w:kern w:val="0"/>
                <w:szCs w:val="21"/>
                <w:lang w:val="zh-CN"/>
              </w:rPr>
              <w:t xml:space="preserve">        是       否</w:t>
            </w:r>
          </w:p>
          <w:p>
            <w:pPr>
              <w:pStyle w:val="17"/>
              <w:rPr>
                <w:rFonts w:hAnsi="宋体" w:cs="宋体"/>
                <w:kern w:val="0"/>
                <w:szCs w:val="21"/>
                <w:lang w:val="zh-CN"/>
              </w:rPr>
            </w:pPr>
            <w:r>
              <w:rPr>
                <w:rFonts w:hint="eastAsia" w:hAnsi="宋体" w:cs="宋体"/>
                <w:color w:val="FF0000"/>
                <w:kern w:val="0"/>
                <w:szCs w:val="21"/>
                <w:lang w:val="zh-CN"/>
              </w:rPr>
              <w:t>【说明：在“供应商是否属于</w:t>
            </w:r>
            <w:r>
              <w:rPr>
                <w:rFonts w:hint="eastAsia" w:hAnsi="宋体"/>
                <w:color w:val="FF0000"/>
                <w:spacing w:val="-6"/>
              </w:rPr>
              <w:t>（视同）</w:t>
            </w:r>
            <w:r>
              <w:rPr>
                <w:rFonts w:hint="eastAsia" w:hAnsi="宋体" w:cs="宋体"/>
                <w:color w:val="FF0000"/>
                <w:kern w:val="0"/>
                <w:szCs w:val="21"/>
                <w:lang w:val="zh-CN"/>
              </w:rPr>
              <w:t>残疾人福利单位”栏后“是”或“否”上打“√”。】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trPr>
        <w:tc>
          <w:tcPr>
            <w:tcW w:w="9851" w:type="dxa"/>
            <w:gridSpan w:val="8"/>
            <w:vAlign w:val="center"/>
          </w:tcPr>
          <w:p>
            <w:pPr>
              <w:pStyle w:val="17"/>
              <w:rPr>
                <w:rFonts w:hAnsi="宋体"/>
                <w:spacing w:val="-6"/>
              </w:rPr>
            </w:pPr>
            <w:r>
              <w:rPr>
                <w:rFonts w:hint="eastAsia" w:hAnsi="宋体"/>
                <w:spacing w:val="-6"/>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9851" w:type="dxa"/>
            <w:gridSpan w:val="8"/>
            <w:vAlign w:val="center"/>
          </w:tcPr>
          <w:p>
            <w:pPr>
              <w:pStyle w:val="17"/>
              <w:rPr>
                <w:rFonts w:hAnsi="宋体"/>
                <w:spacing w:val="-6"/>
              </w:rPr>
            </w:pPr>
            <w:r>
              <w:rPr>
                <w:rFonts w:hint="eastAsia" w:hAnsi="宋体"/>
                <w:spacing w:val="-6"/>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1" w:hRule="atLeast"/>
        </w:trPr>
        <w:tc>
          <w:tcPr>
            <w:tcW w:w="9851" w:type="dxa"/>
            <w:gridSpan w:val="8"/>
            <w:vAlign w:val="center"/>
          </w:tcPr>
          <w:p>
            <w:pPr>
              <w:pStyle w:val="17"/>
              <w:rPr>
                <w:rFonts w:hAnsi="宋体"/>
                <w:spacing w:val="-6"/>
              </w:rPr>
            </w:pPr>
            <w:r>
              <w:rPr>
                <w:rFonts w:hint="eastAsia" w:hAnsi="宋体"/>
                <w:spacing w:val="-6"/>
              </w:rPr>
              <w:t>备注</w:t>
            </w:r>
            <w:r>
              <w:rPr>
                <w:rFonts w:hint="eastAsia" w:hAnsi="宋体"/>
              </w:rPr>
              <w:t>：以上总报价包含货物费用、运杂费、安装施工费、集成费、税金和其他费用。</w:t>
            </w:r>
          </w:p>
        </w:tc>
      </w:tr>
    </w:tbl>
    <w:p>
      <w:pPr>
        <w:pStyle w:val="17"/>
        <w:rPr>
          <w:rFonts w:hAnsi="宋体"/>
        </w:rPr>
      </w:pPr>
    </w:p>
    <w:p>
      <w:pPr>
        <w:pStyle w:val="17"/>
        <w:ind w:firstLine="210" w:firstLineChars="100"/>
        <w:rPr>
          <w:rFonts w:hAnsi="宋体"/>
        </w:rPr>
      </w:pPr>
      <w:r>
        <w:rPr>
          <w:rFonts w:hint="eastAsia" w:hAnsi="宋体"/>
        </w:rPr>
        <w:t>说明：</w:t>
      </w:r>
    </w:p>
    <w:p>
      <w:pPr>
        <w:pStyle w:val="17"/>
        <w:rPr>
          <w:rFonts w:hAnsi="宋体"/>
        </w:rPr>
      </w:pPr>
      <w:r>
        <w:rPr>
          <w:rFonts w:hint="eastAsia" w:hAnsi="宋体"/>
        </w:rPr>
        <w:t>1、如果行数不够，请自行增加。</w:t>
      </w:r>
    </w:p>
    <w:p>
      <w:pPr>
        <w:pStyle w:val="17"/>
        <w:rPr>
          <w:rFonts w:hAnsi="宋体"/>
        </w:rPr>
      </w:pPr>
      <w:r>
        <w:rPr>
          <w:rFonts w:hint="eastAsia" w:hAnsi="宋体"/>
        </w:rPr>
        <w:t>2、在“是否属于</w:t>
      </w:r>
      <w:r>
        <w:rPr>
          <w:rFonts w:hint="eastAsia" w:hAnsi="宋体"/>
          <w:spacing w:val="-6"/>
        </w:rPr>
        <w:t>（视同）</w:t>
      </w:r>
      <w:r>
        <w:rPr>
          <w:rFonts w:hint="eastAsia" w:ascii="Times New Roman" w:hAnsi="宋体" w:cs="宋体"/>
          <w:color w:val="FF0000"/>
          <w:kern w:val="0"/>
          <w:szCs w:val="21"/>
        </w:rPr>
        <w:t xml:space="preserve"> “小型”、“微型”、“监狱企业”或“残疾人福利性单位”</w:t>
      </w:r>
      <w:r>
        <w:rPr>
          <w:rFonts w:hint="eastAsia" w:hAnsi="宋体"/>
        </w:rPr>
        <w:t>的产品”栏内，填写“是”或“否”，如果</w:t>
      </w:r>
      <w:r>
        <w:rPr>
          <w:rFonts w:hint="eastAsia" w:ascii="Times New Roman" w:hAnsi="宋体" w:cs="宋体"/>
          <w:color w:val="FF0000"/>
          <w:kern w:val="0"/>
          <w:szCs w:val="21"/>
        </w:rPr>
        <w:t>“小型”、“微型”、“监狱企业”或“残疾人福利性单位”</w:t>
      </w:r>
      <w:r>
        <w:rPr>
          <w:rFonts w:hint="eastAsia" w:hAnsi="宋体"/>
        </w:rPr>
        <w:t>企业的产品报价无法划分计算的，评标时将不予认可。小型和微型企业产品是指供应商为小微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pPr>
        <w:snapToGrid w:val="0"/>
        <w:spacing w:line="360" w:lineRule="auto"/>
        <w:rPr>
          <w:rFonts w:ascii="宋体" w:hAnsi="宋体"/>
          <w:szCs w:val="20"/>
        </w:rPr>
      </w:pPr>
      <w:r>
        <w:rPr>
          <w:rFonts w:hint="eastAsia" w:ascii="宋体" w:hAnsi="宋体"/>
          <w:szCs w:val="20"/>
        </w:rPr>
        <w:t>3、本项目执行《政府采购促进中小企业发展暂行办法》的通知财库〔2011〕181号、《中小企业化型标准》工信部联企业〔2011〕300号、</w:t>
      </w:r>
      <w:r>
        <w:rPr>
          <w:rFonts w:hint="eastAsia" w:ascii="宋体" w:hAnsi="宋体"/>
          <w:szCs w:val="21"/>
        </w:rPr>
        <w:t>《关于政府采购支持监狱企业发展有关问题的通知》财库[2014]68号、《关于促进残疾人就业政府采购政策的通知》财库</w:t>
      </w:r>
      <w:r>
        <w:rPr>
          <w:rFonts w:hint="eastAsia" w:ascii="宋体" w:hAnsi="宋体"/>
          <w:szCs w:val="20"/>
        </w:rPr>
        <w:t>〔2017〕</w:t>
      </w:r>
      <w:r>
        <w:rPr>
          <w:rFonts w:hint="eastAsia" w:ascii="宋体" w:hAnsi="宋体"/>
          <w:szCs w:val="21"/>
        </w:rPr>
        <w:t>141号</w:t>
      </w:r>
      <w:r>
        <w:rPr>
          <w:rFonts w:hint="eastAsia" w:ascii="宋体" w:hAnsi="宋体"/>
          <w:szCs w:val="20"/>
        </w:rPr>
        <w:t>。对小型、微型企业（监狱企业、残疾人福利性单位视同小型、微型企业）产品的价格给予6%的扣除，用扣除后的价格参与评审。</w:t>
      </w:r>
    </w:p>
    <w:p>
      <w:pPr>
        <w:snapToGrid w:val="0"/>
        <w:spacing w:line="360" w:lineRule="auto"/>
        <w:rPr>
          <w:rFonts w:ascii="宋体" w:hAnsi="宋体"/>
          <w:b/>
          <w:szCs w:val="20"/>
        </w:rPr>
      </w:pPr>
      <w:r>
        <w:rPr>
          <w:rFonts w:hint="eastAsia" w:hAnsi="宋体"/>
        </w:rPr>
        <w:t>法定代表人或其委托集采人签字（或盖章）：</w:t>
      </w:r>
      <w:r>
        <w:rPr>
          <w:rFonts w:hint="eastAsia" w:hAnsi="宋体"/>
          <w:u w:val="single"/>
        </w:rPr>
        <w:t xml:space="preserve">                  </w:t>
      </w:r>
    </w:p>
    <w:p>
      <w:pPr>
        <w:pStyle w:val="17"/>
        <w:spacing w:line="600" w:lineRule="exact"/>
        <w:rPr>
          <w:rFonts w:hAnsi="宋体"/>
        </w:rPr>
      </w:pPr>
      <w:r>
        <w:rPr>
          <w:rFonts w:hint="eastAsia" w:hAnsi="宋体"/>
        </w:rPr>
        <w:t>投标人（公章）：</w:t>
      </w:r>
      <w:r>
        <w:rPr>
          <w:rFonts w:hint="eastAsia" w:hAnsi="宋体"/>
          <w:u w:val="single"/>
        </w:rPr>
        <w:t xml:space="preserve">                                          </w:t>
      </w:r>
    </w:p>
    <w:p>
      <w:pPr>
        <w:pStyle w:val="17"/>
        <w:ind w:firstLine="422"/>
        <w:rPr>
          <w:rFonts w:hAnsi="宋体"/>
          <w:b/>
          <w:bCs/>
        </w:rPr>
      </w:pPr>
      <w:r>
        <w:rPr>
          <w:rFonts w:hint="eastAsia" w:hAnsi="宋体"/>
          <w:b/>
          <w:bCs/>
        </w:rPr>
        <w:t>注：未按照本投标报价表的格式要求填写投标报价表的，将造成非实质响应投标，从而导致该投标人投标无效。</w:t>
      </w:r>
    </w:p>
    <w:p>
      <w:pPr>
        <w:pStyle w:val="17"/>
        <w:ind w:firstLine="422"/>
        <w:rPr>
          <w:rFonts w:hAnsi="宋体"/>
          <w:b/>
          <w:bCs/>
        </w:rPr>
      </w:pPr>
      <w:r>
        <w:rPr>
          <w:rFonts w:hAnsi="宋体"/>
          <w:b/>
          <w:bCs/>
        </w:rPr>
        <w:br w:type="page"/>
      </w:r>
    </w:p>
    <w:p>
      <w:pPr>
        <w:pStyle w:val="17"/>
        <w:rPr>
          <w:rFonts w:hAnsi="宋体"/>
          <w:b/>
          <w:bCs/>
        </w:rPr>
      </w:pPr>
    </w:p>
    <w:p>
      <w:pPr>
        <w:jc w:val="center"/>
        <w:rPr>
          <w:rFonts w:ascii="宋体" w:hAnsi="宋体"/>
          <w:b/>
          <w:color w:val="000000"/>
          <w:sz w:val="32"/>
          <w:szCs w:val="32"/>
        </w:rPr>
      </w:pPr>
      <w:r>
        <w:rPr>
          <w:rFonts w:hint="eastAsia" w:ascii="宋体" w:hAnsi="宋体"/>
          <w:b/>
          <w:color w:val="000000"/>
          <w:sz w:val="32"/>
          <w:szCs w:val="32"/>
        </w:rPr>
        <w:t>资格性/符合性检查响应对照表</w:t>
      </w:r>
    </w:p>
    <w:p>
      <w:pPr>
        <w:ind w:firstLine="309"/>
        <w:rPr>
          <w:rFonts w:ascii="宋体" w:hAnsi="宋体"/>
          <w:color w:val="000000"/>
          <w:sz w:val="24"/>
        </w:rPr>
      </w:pPr>
      <w:r>
        <w:rPr>
          <w:rFonts w:hint="eastAsia" w:ascii="宋体" w:hAnsi="宋体"/>
          <w:color w:val="000000"/>
          <w:sz w:val="24"/>
        </w:rPr>
        <w:t>投标人全称（加盖公章）：</w:t>
      </w:r>
      <w:r>
        <w:rPr>
          <w:rFonts w:hint="eastAsia" w:ascii="宋体" w:hAnsi="宋体"/>
          <w:color w:val="000000"/>
          <w:sz w:val="24"/>
          <w:u w:val="single"/>
        </w:rPr>
        <w:t xml:space="preserve">                  </w:t>
      </w:r>
      <w:r>
        <w:rPr>
          <w:rFonts w:hint="eastAsia" w:ascii="宋体" w:hAnsi="宋体"/>
          <w:color w:val="000000"/>
          <w:sz w:val="24"/>
        </w:rPr>
        <w:t xml:space="preserve">  </w:t>
      </w:r>
    </w:p>
    <w:p>
      <w:pPr>
        <w:ind w:firstLine="309"/>
        <w:rPr>
          <w:rFonts w:ascii="宋体" w:hAnsi="宋体"/>
          <w:color w:val="000000"/>
          <w:sz w:val="24"/>
        </w:rPr>
      </w:pPr>
      <w:r>
        <w:rPr>
          <w:rFonts w:hint="eastAsia" w:ascii="宋体" w:hAnsi="宋体"/>
          <w:color w:val="000000"/>
          <w:sz w:val="24"/>
        </w:rPr>
        <w:t xml:space="preserve">    </w:t>
      </w:r>
    </w:p>
    <w:tbl>
      <w:tblPr>
        <w:tblStyle w:val="4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103"/>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675" w:type="dxa"/>
            <w:vAlign w:val="center"/>
          </w:tcPr>
          <w:p>
            <w:pPr>
              <w:snapToGrid w:val="0"/>
              <w:spacing w:line="240" w:lineRule="atLeast"/>
              <w:jc w:val="center"/>
              <w:rPr>
                <w:rFonts w:ascii="宋体" w:hAnsi="宋体"/>
                <w:b/>
                <w:color w:val="000000"/>
              </w:rPr>
            </w:pPr>
            <w:r>
              <w:rPr>
                <w:rFonts w:hint="eastAsia" w:ascii="宋体" w:hAnsi="宋体"/>
                <w:b/>
                <w:color w:val="000000"/>
              </w:rPr>
              <w:t>序号</w:t>
            </w:r>
          </w:p>
        </w:tc>
        <w:tc>
          <w:tcPr>
            <w:tcW w:w="5103" w:type="dxa"/>
            <w:vAlign w:val="center"/>
          </w:tcPr>
          <w:p>
            <w:pPr>
              <w:snapToGrid w:val="0"/>
              <w:spacing w:line="240" w:lineRule="atLeast"/>
              <w:jc w:val="center"/>
              <w:rPr>
                <w:rFonts w:ascii="宋体" w:hAnsi="宋体"/>
                <w:b/>
                <w:color w:val="000000"/>
              </w:rPr>
            </w:pPr>
            <w:r>
              <w:rPr>
                <w:rFonts w:hint="eastAsia" w:ascii="宋体" w:hAnsi="宋体"/>
                <w:b/>
                <w:color w:val="000000"/>
              </w:rPr>
              <w:t>资格性/符合性检查响应内容</w:t>
            </w:r>
          </w:p>
        </w:tc>
        <w:tc>
          <w:tcPr>
            <w:tcW w:w="1134" w:type="dxa"/>
            <w:vAlign w:val="center"/>
          </w:tcPr>
          <w:p>
            <w:pPr>
              <w:snapToGrid w:val="0"/>
              <w:spacing w:line="240" w:lineRule="atLeast"/>
              <w:jc w:val="center"/>
              <w:rPr>
                <w:rFonts w:ascii="宋体" w:hAnsi="宋体"/>
                <w:b/>
                <w:color w:val="000000"/>
              </w:rPr>
            </w:pPr>
            <w:r>
              <w:rPr>
                <w:rFonts w:hint="eastAsia" w:ascii="宋体" w:hAnsi="宋体"/>
                <w:b/>
                <w:color w:val="000000"/>
              </w:rPr>
              <w:t>是否响应</w:t>
            </w:r>
          </w:p>
          <w:p>
            <w:pPr>
              <w:snapToGrid w:val="0"/>
              <w:spacing w:line="240" w:lineRule="atLeast"/>
              <w:jc w:val="center"/>
              <w:rPr>
                <w:rFonts w:ascii="宋体" w:hAnsi="宋体"/>
                <w:b/>
                <w:color w:val="000000"/>
              </w:rPr>
            </w:pPr>
            <w:r>
              <w:rPr>
                <w:rFonts w:hint="eastAsia" w:ascii="宋体" w:hAnsi="宋体"/>
                <w:b/>
                <w:color w:val="000000"/>
              </w:rPr>
              <w:t>（是/否）</w:t>
            </w:r>
          </w:p>
        </w:tc>
        <w:tc>
          <w:tcPr>
            <w:tcW w:w="1560" w:type="dxa"/>
            <w:vAlign w:val="center"/>
          </w:tcPr>
          <w:p>
            <w:pPr>
              <w:snapToGrid w:val="0"/>
              <w:spacing w:line="240" w:lineRule="atLeast"/>
              <w:jc w:val="center"/>
              <w:rPr>
                <w:rFonts w:ascii="宋体" w:hAnsi="宋体"/>
                <w:b/>
                <w:color w:val="000000"/>
              </w:rPr>
            </w:pPr>
            <w:r>
              <w:rPr>
                <w:rFonts w:hint="eastAsia" w:ascii="宋体" w:hAnsi="宋体"/>
                <w:b/>
                <w:color w:val="000000"/>
              </w:rPr>
              <w:t>资格审查文件/商务技术文件中的页码位置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jc w:val="center"/>
              <w:rPr>
                <w:rFonts w:ascii="宋体" w:hAnsi="宋体"/>
                <w:color w:val="000000"/>
              </w:rPr>
            </w:pPr>
            <w:r>
              <w:rPr>
                <w:rFonts w:hint="eastAsia" w:ascii="宋体" w:hAnsi="宋体"/>
                <w:color w:val="000000"/>
              </w:rPr>
              <w:t>1</w:t>
            </w:r>
          </w:p>
        </w:tc>
        <w:tc>
          <w:tcPr>
            <w:tcW w:w="5103" w:type="dxa"/>
            <w:vAlign w:val="center"/>
          </w:tcPr>
          <w:p>
            <w:pPr>
              <w:spacing w:line="480" w:lineRule="exact"/>
              <w:rPr>
                <w:rFonts w:ascii="宋体" w:hAnsi="宋体"/>
                <w:iCs/>
                <w:color w:val="000000"/>
                <w:sz w:val="24"/>
              </w:rPr>
            </w:pPr>
          </w:p>
          <w:p>
            <w:pPr>
              <w:spacing w:line="480" w:lineRule="exact"/>
              <w:rPr>
                <w:rFonts w:ascii="宋体" w:hAnsi="宋体"/>
                <w:iCs/>
                <w:color w:val="000000"/>
                <w:sz w:val="24"/>
              </w:rPr>
            </w:pPr>
          </w:p>
        </w:tc>
        <w:tc>
          <w:tcPr>
            <w:tcW w:w="1134" w:type="dxa"/>
            <w:vAlign w:val="center"/>
          </w:tcPr>
          <w:p>
            <w:pPr>
              <w:rPr>
                <w:rFonts w:ascii="宋体" w:hAnsi="宋体"/>
                <w:b/>
                <w:color w:val="000000"/>
              </w:rPr>
            </w:pPr>
          </w:p>
        </w:tc>
        <w:tc>
          <w:tcPr>
            <w:tcW w:w="1560" w:type="dxa"/>
            <w:vAlign w:val="center"/>
          </w:tcPr>
          <w:p>
            <w:pP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jc w:val="center"/>
              <w:rPr>
                <w:rFonts w:ascii="宋体" w:hAnsi="宋体"/>
                <w:color w:val="000000"/>
              </w:rPr>
            </w:pPr>
            <w:r>
              <w:rPr>
                <w:rFonts w:hint="eastAsia" w:ascii="宋体" w:hAnsi="宋体"/>
                <w:color w:val="000000"/>
              </w:rPr>
              <w:t>2</w:t>
            </w:r>
          </w:p>
        </w:tc>
        <w:tc>
          <w:tcPr>
            <w:tcW w:w="5103" w:type="dxa"/>
            <w:vAlign w:val="center"/>
          </w:tcPr>
          <w:p>
            <w:pPr>
              <w:spacing w:line="480" w:lineRule="exact"/>
              <w:rPr>
                <w:rFonts w:ascii="宋体" w:hAnsi="宋体"/>
                <w:iCs/>
                <w:color w:val="000000"/>
                <w:sz w:val="24"/>
              </w:rPr>
            </w:pPr>
          </w:p>
          <w:p>
            <w:pPr>
              <w:spacing w:line="480" w:lineRule="exact"/>
              <w:rPr>
                <w:rFonts w:ascii="宋体" w:hAnsi="宋体"/>
                <w:iCs/>
                <w:color w:val="000000"/>
                <w:sz w:val="24"/>
              </w:rPr>
            </w:pPr>
          </w:p>
        </w:tc>
        <w:tc>
          <w:tcPr>
            <w:tcW w:w="1134" w:type="dxa"/>
            <w:vAlign w:val="center"/>
          </w:tcPr>
          <w:p>
            <w:pPr>
              <w:rPr>
                <w:rFonts w:ascii="宋体" w:hAnsi="宋体"/>
                <w:color w:val="000000"/>
              </w:rPr>
            </w:pPr>
          </w:p>
        </w:tc>
        <w:tc>
          <w:tcPr>
            <w:tcW w:w="1560"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jc w:val="center"/>
              <w:rPr>
                <w:rFonts w:ascii="宋体" w:hAnsi="宋体"/>
                <w:color w:val="000000"/>
              </w:rPr>
            </w:pPr>
            <w:r>
              <w:rPr>
                <w:rFonts w:hint="eastAsia" w:ascii="宋体" w:hAnsi="宋体"/>
                <w:color w:val="000000"/>
              </w:rPr>
              <w:t>3</w:t>
            </w:r>
          </w:p>
        </w:tc>
        <w:tc>
          <w:tcPr>
            <w:tcW w:w="5103" w:type="dxa"/>
            <w:vAlign w:val="center"/>
          </w:tcPr>
          <w:p>
            <w:pPr>
              <w:spacing w:line="480" w:lineRule="exact"/>
              <w:rPr>
                <w:rFonts w:ascii="宋体" w:hAnsi="宋体"/>
                <w:iCs/>
                <w:color w:val="000000"/>
                <w:sz w:val="24"/>
              </w:rPr>
            </w:pPr>
          </w:p>
          <w:p>
            <w:pPr>
              <w:spacing w:line="480" w:lineRule="exact"/>
              <w:rPr>
                <w:rFonts w:ascii="宋体" w:hAnsi="宋体"/>
                <w:iCs/>
                <w:color w:val="000000"/>
                <w:sz w:val="24"/>
              </w:rPr>
            </w:pPr>
          </w:p>
        </w:tc>
        <w:tc>
          <w:tcPr>
            <w:tcW w:w="1134" w:type="dxa"/>
            <w:vAlign w:val="center"/>
          </w:tcPr>
          <w:p>
            <w:pPr>
              <w:rPr>
                <w:rFonts w:ascii="宋体" w:hAnsi="宋体"/>
                <w:color w:val="000000"/>
              </w:rPr>
            </w:pPr>
          </w:p>
        </w:tc>
        <w:tc>
          <w:tcPr>
            <w:tcW w:w="1560"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jc w:val="center"/>
              <w:rPr>
                <w:rFonts w:ascii="宋体" w:hAnsi="宋体"/>
                <w:color w:val="000000"/>
              </w:rPr>
            </w:pPr>
            <w:r>
              <w:rPr>
                <w:rFonts w:hint="eastAsia" w:ascii="宋体" w:hAnsi="宋体"/>
                <w:color w:val="000000"/>
              </w:rPr>
              <w:t>4</w:t>
            </w:r>
          </w:p>
        </w:tc>
        <w:tc>
          <w:tcPr>
            <w:tcW w:w="5103" w:type="dxa"/>
            <w:vAlign w:val="center"/>
          </w:tcPr>
          <w:p>
            <w:pPr>
              <w:spacing w:line="480" w:lineRule="exact"/>
              <w:rPr>
                <w:rFonts w:ascii="宋体" w:hAnsi="宋体"/>
                <w:iCs/>
                <w:color w:val="000000"/>
                <w:sz w:val="24"/>
              </w:rPr>
            </w:pPr>
          </w:p>
          <w:p>
            <w:pPr>
              <w:spacing w:line="480" w:lineRule="exact"/>
              <w:rPr>
                <w:rFonts w:ascii="宋体" w:hAnsi="宋体"/>
                <w:iCs/>
                <w:color w:val="000000"/>
                <w:sz w:val="24"/>
              </w:rPr>
            </w:pPr>
          </w:p>
        </w:tc>
        <w:tc>
          <w:tcPr>
            <w:tcW w:w="1134" w:type="dxa"/>
            <w:vAlign w:val="center"/>
          </w:tcPr>
          <w:p>
            <w:pPr>
              <w:rPr>
                <w:rFonts w:ascii="宋体" w:hAnsi="宋体"/>
                <w:color w:val="000000"/>
              </w:rPr>
            </w:pPr>
          </w:p>
        </w:tc>
        <w:tc>
          <w:tcPr>
            <w:tcW w:w="1560"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jc w:val="center"/>
              <w:rPr>
                <w:rFonts w:ascii="宋体" w:hAnsi="宋体"/>
                <w:color w:val="000000"/>
              </w:rPr>
            </w:pPr>
            <w:r>
              <w:rPr>
                <w:rFonts w:hint="eastAsia" w:ascii="宋体" w:hAnsi="宋体"/>
                <w:color w:val="000000"/>
              </w:rPr>
              <w:t>5</w:t>
            </w:r>
          </w:p>
        </w:tc>
        <w:tc>
          <w:tcPr>
            <w:tcW w:w="5103" w:type="dxa"/>
            <w:vAlign w:val="center"/>
          </w:tcPr>
          <w:p>
            <w:pPr>
              <w:spacing w:line="480" w:lineRule="exact"/>
              <w:rPr>
                <w:rFonts w:ascii="宋体" w:hAnsi="宋体"/>
                <w:iCs/>
                <w:color w:val="000000"/>
                <w:sz w:val="24"/>
              </w:rPr>
            </w:pPr>
          </w:p>
          <w:p>
            <w:pPr>
              <w:spacing w:line="480" w:lineRule="exact"/>
              <w:rPr>
                <w:rFonts w:ascii="宋体" w:hAnsi="宋体"/>
                <w:iCs/>
                <w:color w:val="000000"/>
                <w:sz w:val="24"/>
              </w:rPr>
            </w:pPr>
          </w:p>
        </w:tc>
        <w:tc>
          <w:tcPr>
            <w:tcW w:w="1134" w:type="dxa"/>
            <w:vAlign w:val="center"/>
          </w:tcPr>
          <w:p>
            <w:pPr>
              <w:rPr>
                <w:rFonts w:ascii="宋体" w:hAnsi="宋体"/>
                <w:color w:val="000000"/>
              </w:rPr>
            </w:pPr>
          </w:p>
        </w:tc>
        <w:tc>
          <w:tcPr>
            <w:tcW w:w="1560"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jc w:val="center"/>
              <w:rPr>
                <w:rFonts w:ascii="宋体" w:hAnsi="宋体"/>
                <w:color w:val="000000"/>
              </w:rPr>
            </w:pPr>
            <w:r>
              <w:rPr>
                <w:rFonts w:hint="eastAsia" w:ascii="宋体" w:hAnsi="宋体"/>
                <w:color w:val="000000"/>
              </w:rPr>
              <w:t>6</w:t>
            </w:r>
          </w:p>
        </w:tc>
        <w:tc>
          <w:tcPr>
            <w:tcW w:w="5103" w:type="dxa"/>
            <w:vAlign w:val="center"/>
          </w:tcPr>
          <w:p>
            <w:pPr>
              <w:spacing w:line="480" w:lineRule="exact"/>
              <w:rPr>
                <w:rFonts w:ascii="宋体" w:hAnsi="宋体"/>
                <w:iCs/>
                <w:color w:val="000000"/>
                <w:sz w:val="24"/>
              </w:rPr>
            </w:pPr>
          </w:p>
          <w:p>
            <w:pPr>
              <w:spacing w:line="480" w:lineRule="exact"/>
              <w:rPr>
                <w:rFonts w:ascii="宋体" w:hAnsi="宋体"/>
                <w:iCs/>
                <w:color w:val="000000"/>
                <w:sz w:val="24"/>
              </w:rPr>
            </w:pPr>
          </w:p>
        </w:tc>
        <w:tc>
          <w:tcPr>
            <w:tcW w:w="1134" w:type="dxa"/>
            <w:vAlign w:val="center"/>
          </w:tcPr>
          <w:p>
            <w:pPr>
              <w:rPr>
                <w:rFonts w:ascii="宋体" w:hAnsi="宋体"/>
                <w:color w:val="000000"/>
              </w:rPr>
            </w:pPr>
          </w:p>
        </w:tc>
        <w:tc>
          <w:tcPr>
            <w:tcW w:w="1560"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jc w:val="center"/>
              <w:rPr>
                <w:rFonts w:ascii="宋体" w:hAnsi="宋体"/>
                <w:color w:val="000000"/>
              </w:rPr>
            </w:pPr>
            <w:r>
              <w:rPr>
                <w:rFonts w:hint="eastAsia" w:ascii="宋体" w:hAnsi="宋体"/>
                <w:color w:val="000000"/>
              </w:rPr>
              <w:t>7</w:t>
            </w:r>
          </w:p>
        </w:tc>
        <w:tc>
          <w:tcPr>
            <w:tcW w:w="5103" w:type="dxa"/>
            <w:vAlign w:val="center"/>
          </w:tcPr>
          <w:p>
            <w:pPr>
              <w:spacing w:line="480" w:lineRule="exact"/>
              <w:rPr>
                <w:rFonts w:ascii="宋体" w:hAnsi="宋体"/>
                <w:iCs/>
                <w:color w:val="000000"/>
                <w:sz w:val="24"/>
              </w:rPr>
            </w:pPr>
          </w:p>
          <w:p>
            <w:pPr>
              <w:spacing w:line="480" w:lineRule="exact"/>
              <w:rPr>
                <w:rFonts w:ascii="宋体" w:hAnsi="宋体"/>
                <w:iCs/>
                <w:color w:val="000000"/>
                <w:sz w:val="24"/>
              </w:rPr>
            </w:pPr>
          </w:p>
        </w:tc>
        <w:tc>
          <w:tcPr>
            <w:tcW w:w="1134" w:type="dxa"/>
            <w:vAlign w:val="center"/>
          </w:tcPr>
          <w:p>
            <w:pPr>
              <w:rPr>
                <w:rFonts w:ascii="宋体" w:hAnsi="宋体"/>
                <w:color w:val="000000"/>
              </w:rPr>
            </w:pPr>
          </w:p>
        </w:tc>
        <w:tc>
          <w:tcPr>
            <w:tcW w:w="1560" w:type="dxa"/>
            <w:vAlign w:val="center"/>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675" w:type="dxa"/>
            <w:vAlign w:val="center"/>
          </w:tcPr>
          <w:p>
            <w:pPr>
              <w:jc w:val="center"/>
              <w:rPr>
                <w:rFonts w:ascii="宋体" w:hAnsi="宋体"/>
                <w:color w:val="000000"/>
              </w:rPr>
            </w:pPr>
            <w:r>
              <w:rPr>
                <w:rFonts w:hint="eastAsia" w:ascii="宋体" w:hAnsi="宋体"/>
                <w:color w:val="000000"/>
              </w:rPr>
              <w:t>8</w:t>
            </w:r>
          </w:p>
        </w:tc>
        <w:tc>
          <w:tcPr>
            <w:tcW w:w="5103" w:type="dxa"/>
            <w:vAlign w:val="center"/>
          </w:tcPr>
          <w:p>
            <w:pPr>
              <w:spacing w:line="480" w:lineRule="exact"/>
              <w:rPr>
                <w:rFonts w:ascii="宋体" w:hAnsi="宋体"/>
                <w:iCs/>
                <w:color w:val="000000"/>
                <w:sz w:val="24"/>
              </w:rPr>
            </w:pPr>
          </w:p>
          <w:p>
            <w:pPr>
              <w:spacing w:line="480" w:lineRule="exact"/>
              <w:rPr>
                <w:rFonts w:ascii="宋体" w:hAnsi="宋体"/>
                <w:iCs/>
                <w:color w:val="000000"/>
                <w:sz w:val="24"/>
              </w:rPr>
            </w:pPr>
          </w:p>
        </w:tc>
        <w:tc>
          <w:tcPr>
            <w:tcW w:w="1134" w:type="dxa"/>
            <w:vAlign w:val="center"/>
          </w:tcPr>
          <w:p>
            <w:pPr>
              <w:rPr>
                <w:rFonts w:ascii="宋体" w:hAnsi="宋体"/>
                <w:color w:val="000000"/>
              </w:rPr>
            </w:pPr>
          </w:p>
        </w:tc>
        <w:tc>
          <w:tcPr>
            <w:tcW w:w="1560" w:type="dxa"/>
            <w:vAlign w:val="center"/>
          </w:tcPr>
          <w:p>
            <w:pPr>
              <w:rPr>
                <w:rFonts w:ascii="宋体" w:hAnsi="宋体"/>
                <w:color w:val="000000"/>
              </w:rPr>
            </w:pPr>
          </w:p>
        </w:tc>
      </w:tr>
    </w:tbl>
    <w:p>
      <w:pPr>
        <w:jc w:val="left"/>
        <w:rPr>
          <w:rFonts w:ascii="宋体" w:hAnsi="宋体"/>
          <w:sz w:val="24"/>
        </w:rPr>
      </w:pPr>
    </w:p>
    <w:p>
      <w:pPr>
        <w:ind w:firstLine="480" w:firstLineChars="200"/>
        <w:jc w:val="left"/>
        <w:rPr>
          <w:rFonts w:ascii="宋体" w:hAnsi="宋体"/>
          <w:b/>
          <w:color w:val="000000"/>
          <w:sz w:val="24"/>
        </w:rPr>
      </w:pPr>
      <w:r>
        <w:rPr>
          <w:rFonts w:hint="eastAsia" w:ascii="宋体" w:hAnsi="宋体"/>
          <w:sz w:val="24"/>
        </w:rPr>
        <w:t>请根据招标文件要求，在资格审查文件与商务技术文件中分别编制</w:t>
      </w:r>
      <w:r>
        <w:rPr>
          <w:rFonts w:hint="eastAsia" w:ascii="宋体" w:hAnsi="宋体"/>
          <w:b/>
          <w:sz w:val="24"/>
        </w:rPr>
        <w:t>资格性检查响应对照表</w:t>
      </w:r>
      <w:r>
        <w:rPr>
          <w:rFonts w:hint="eastAsia" w:ascii="宋体" w:hAnsi="宋体"/>
          <w:sz w:val="24"/>
        </w:rPr>
        <w:t>与</w:t>
      </w:r>
      <w:r>
        <w:rPr>
          <w:rFonts w:hint="eastAsia" w:ascii="宋体" w:hAnsi="宋体"/>
          <w:b/>
          <w:sz w:val="24"/>
        </w:rPr>
        <w:t>符合性检查响应对照表</w:t>
      </w:r>
      <w:r>
        <w:rPr>
          <w:rFonts w:hint="eastAsia" w:ascii="宋体" w:hAnsi="宋体"/>
          <w:sz w:val="24"/>
        </w:rPr>
        <w:t>。</w:t>
      </w:r>
    </w:p>
    <w:p>
      <w:pPr>
        <w:snapToGrid w:val="0"/>
        <w:spacing w:before="50" w:after="50" w:line="560" w:lineRule="exact"/>
        <w:rPr>
          <w:rFonts w:ascii="宋体" w:hAnsi="宋体"/>
          <w:sz w:val="24"/>
        </w:rPr>
      </w:pPr>
    </w:p>
    <w:p>
      <w:pPr>
        <w:widowControl/>
        <w:jc w:val="left"/>
        <w:rPr>
          <w:rFonts w:ascii="宋体" w:hAnsi="宋体"/>
          <w:sz w:val="24"/>
        </w:rPr>
      </w:pPr>
      <w:r>
        <w:rPr>
          <w:rFonts w:ascii="宋体" w:hAnsi="宋体"/>
          <w:sz w:val="24"/>
        </w:rPr>
        <w:br w:type="page"/>
      </w:r>
    </w:p>
    <w:p>
      <w:pPr>
        <w:snapToGrid w:val="0"/>
        <w:spacing w:before="50" w:after="50" w:line="560" w:lineRule="exact"/>
        <w:jc w:val="center"/>
        <w:rPr>
          <w:rFonts w:ascii="宋体" w:hAnsi="宋体"/>
          <w:sz w:val="30"/>
          <w:szCs w:val="30"/>
        </w:rPr>
      </w:pPr>
      <w:r>
        <w:rPr>
          <w:rFonts w:hint="eastAsia" w:ascii="宋体" w:hAnsi="宋体"/>
          <w:b/>
          <w:bCs/>
          <w:sz w:val="30"/>
          <w:szCs w:val="30"/>
        </w:rPr>
        <w:t>资格证明文件目录</w:t>
      </w:r>
    </w:p>
    <w:p>
      <w:pPr>
        <w:pStyle w:val="17"/>
        <w:spacing w:line="500" w:lineRule="exact"/>
        <w:ind w:firstLine="482" w:firstLineChars="200"/>
        <w:jc w:val="left"/>
        <w:rPr>
          <w:rFonts w:hAnsi="宋体"/>
          <w:b/>
          <w:color w:val="000000"/>
          <w:sz w:val="24"/>
          <w:szCs w:val="24"/>
        </w:rPr>
      </w:pPr>
      <w:r>
        <w:rPr>
          <w:rFonts w:hint="eastAsia" w:hAnsi="宋体"/>
          <w:b/>
          <w:color w:val="000000"/>
          <w:sz w:val="24"/>
          <w:szCs w:val="24"/>
        </w:rPr>
        <w:t>请根据招标文件对投标人的资格要求（第一章 投标邀请 三、投标人的资格要求），提供资格证明文件，格式自定。</w:t>
      </w:r>
    </w:p>
    <w:p>
      <w:pPr>
        <w:pStyle w:val="26"/>
        <w:jc w:val="left"/>
        <w:rPr>
          <w:rFonts w:ascii="宋体" w:hAnsi="宋体"/>
          <w:sz w:val="21"/>
          <w:szCs w:val="21"/>
        </w:rPr>
      </w:pPr>
      <w:r>
        <w:br w:type="page"/>
      </w:r>
      <w:r>
        <w:rPr>
          <w:rFonts w:hint="eastAsia" w:ascii="宋体" w:hAnsi="宋体"/>
          <w:sz w:val="21"/>
          <w:szCs w:val="21"/>
        </w:rPr>
        <w:t>格式4：法定代表人授权委托书</w:t>
      </w:r>
    </w:p>
    <w:p>
      <w:pPr>
        <w:pStyle w:val="17"/>
        <w:spacing w:line="500" w:lineRule="exact"/>
        <w:jc w:val="center"/>
        <w:rPr>
          <w:rFonts w:hAnsi="宋体"/>
          <w:b/>
          <w:bCs/>
          <w:sz w:val="32"/>
        </w:rPr>
      </w:pPr>
      <w:r>
        <w:rPr>
          <w:rFonts w:hint="eastAsia" w:hAnsi="宋体"/>
          <w:b/>
          <w:bCs/>
          <w:sz w:val="32"/>
        </w:rPr>
        <w:t>法定代表人授权委托书（格式）</w:t>
      </w:r>
    </w:p>
    <w:p>
      <w:pPr>
        <w:pStyle w:val="17"/>
        <w:spacing w:line="500" w:lineRule="exact"/>
        <w:ind w:firstLine="420" w:firstLineChars="200"/>
        <w:rPr>
          <w:rFonts w:hAnsi="宋体"/>
          <w:u w:val="single"/>
        </w:rPr>
      </w:pPr>
    </w:p>
    <w:p>
      <w:pPr>
        <w:pStyle w:val="17"/>
        <w:spacing w:line="500" w:lineRule="exact"/>
        <w:ind w:firstLine="420" w:firstLineChars="200"/>
        <w:rPr>
          <w:rFonts w:hAnsi="宋体"/>
          <w:b/>
          <w:bCs/>
          <w:sz w:val="36"/>
        </w:rPr>
      </w:pPr>
      <w:r>
        <w:rPr>
          <w:rFonts w:hint="eastAsia" w:hAnsi="宋体"/>
        </w:rPr>
        <w:t>连云港市政府采购中心：</w:t>
      </w:r>
    </w:p>
    <w:p>
      <w:pPr>
        <w:pStyle w:val="17"/>
        <w:spacing w:line="500" w:lineRule="exact"/>
        <w:ind w:firstLine="420"/>
        <w:rPr>
          <w:rFonts w:hAnsi="宋体"/>
        </w:rPr>
      </w:pPr>
      <w:r>
        <w:rPr>
          <w:rFonts w:hint="eastAsia" w:hAnsi="宋体"/>
        </w:rPr>
        <w:t>本授权书声明：注册于</w:t>
      </w:r>
      <w:r>
        <w:rPr>
          <w:rFonts w:hint="eastAsia" w:hAnsi="宋体"/>
          <w:u w:val="single"/>
        </w:rPr>
        <w:t xml:space="preserve">  （委托单位全称） </w:t>
      </w:r>
      <w:r>
        <w:rPr>
          <w:rFonts w:hint="eastAsia" w:hAnsi="宋体"/>
        </w:rPr>
        <w:t>的法定代表人代表本公司授权</w:t>
      </w:r>
      <w:r>
        <w:rPr>
          <w:rFonts w:hint="eastAsia" w:hAnsi="宋体"/>
          <w:u w:val="single"/>
        </w:rPr>
        <w:t>（姓名和职务）</w:t>
      </w:r>
      <w:r>
        <w:rPr>
          <w:rFonts w:hint="eastAsia" w:hAnsi="宋体"/>
        </w:rPr>
        <w:t>为本公司合法集采人，就贵方组织的有关</w:t>
      </w:r>
      <w:r>
        <w:rPr>
          <w:rFonts w:hint="eastAsia" w:hAnsi="宋体"/>
          <w:u w:val="single"/>
        </w:rPr>
        <w:t xml:space="preserve">（采购项目名称、标段） </w:t>
      </w:r>
      <w:r>
        <w:rPr>
          <w:rFonts w:hint="eastAsia" w:hAnsi="宋体"/>
        </w:rPr>
        <w:t>（项目编号：</w:t>
      </w:r>
      <w:r>
        <w:rPr>
          <w:rFonts w:hint="eastAsia" w:hAnsi="宋体"/>
          <w:u w:val="single"/>
        </w:rPr>
        <w:t xml:space="preserve"> 【项目编号】</w:t>
      </w:r>
      <w:r>
        <w:rPr>
          <w:rFonts w:hint="eastAsia" w:hAnsi="宋体"/>
        </w:rPr>
        <w:t>）的投标及合同签订、执行、完成，以本单位名义处理一切与之有关的事务。</w:t>
      </w:r>
    </w:p>
    <w:p>
      <w:pPr>
        <w:pStyle w:val="17"/>
        <w:spacing w:line="500" w:lineRule="exact"/>
        <w:ind w:firstLine="420"/>
        <w:rPr>
          <w:rFonts w:hAnsi="宋体"/>
        </w:rPr>
      </w:pPr>
      <w:r>
        <w:rPr>
          <w:rFonts w:hint="eastAsia" w:hAnsi="宋体"/>
        </w:rPr>
        <w:t>本授权书于</w:t>
      </w:r>
      <w:r>
        <w:rPr>
          <w:rFonts w:hint="eastAsia" w:hAnsi="宋体"/>
          <w:spacing w:val="10"/>
          <w:sz w:val="24"/>
          <w:u w:val="single"/>
        </w:rPr>
        <w:t xml:space="preserve">     </w:t>
      </w:r>
      <w:r>
        <w:rPr>
          <w:rFonts w:hint="eastAsia" w:hAnsi="宋体"/>
        </w:rPr>
        <w:t>年</w:t>
      </w:r>
      <w:r>
        <w:rPr>
          <w:rFonts w:hint="eastAsia" w:hAnsi="宋体"/>
          <w:spacing w:val="10"/>
          <w:sz w:val="24"/>
          <w:u w:val="single"/>
        </w:rPr>
        <w:t xml:space="preserve">  </w:t>
      </w:r>
      <w:r>
        <w:rPr>
          <w:rFonts w:hint="eastAsia" w:hAnsi="宋体"/>
        </w:rPr>
        <w:t>月</w:t>
      </w:r>
      <w:r>
        <w:rPr>
          <w:rFonts w:hint="eastAsia" w:hAnsi="宋体"/>
          <w:spacing w:val="10"/>
          <w:sz w:val="24"/>
          <w:u w:val="single"/>
        </w:rPr>
        <w:t xml:space="preserve">  </w:t>
      </w:r>
      <w:r>
        <w:rPr>
          <w:rFonts w:hint="eastAsia" w:hAnsi="宋体"/>
        </w:rPr>
        <w:t>日签字生效，特此声明。</w:t>
      </w:r>
    </w:p>
    <w:p>
      <w:pPr>
        <w:pStyle w:val="17"/>
        <w:spacing w:line="500" w:lineRule="exact"/>
        <w:ind w:firstLine="420"/>
        <w:rPr>
          <w:rFonts w:hAnsi="宋体"/>
        </w:rPr>
      </w:pPr>
    </w:p>
    <w:p>
      <w:pPr>
        <w:pStyle w:val="17"/>
        <w:spacing w:line="500" w:lineRule="exact"/>
        <w:ind w:firstLine="420" w:firstLineChars="200"/>
        <w:rPr>
          <w:rFonts w:hAnsi="宋体"/>
        </w:rPr>
      </w:pPr>
      <w:r>
        <w:rPr>
          <w:rFonts w:hint="eastAsia" w:hAnsi="宋体"/>
        </w:rPr>
        <w:t>委托单位：    （公章）                  法定代表人签字（或盖章）：</w:t>
      </w:r>
    </w:p>
    <w:p>
      <w:pPr>
        <w:pStyle w:val="17"/>
        <w:spacing w:line="500" w:lineRule="exact"/>
        <w:ind w:firstLine="420" w:firstLineChars="200"/>
        <w:rPr>
          <w:rFonts w:hAnsi="宋体"/>
        </w:rPr>
      </w:pPr>
    </w:p>
    <w:p>
      <w:pPr>
        <w:pStyle w:val="17"/>
        <w:spacing w:line="500" w:lineRule="exact"/>
        <w:ind w:firstLine="420" w:firstLineChars="200"/>
        <w:rPr>
          <w:rFonts w:hAnsi="宋体"/>
        </w:rPr>
      </w:pPr>
      <w:r>
        <w:rPr>
          <w:rFonts w:hint="eastAsia" w:hAnsi="宋体"/>
        </w:rPr>
        <w:t>签发日期：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pStyle w:val="17"/>
        <w:spacing w:line="500" w:lineRule="exact"/>
        <w:rPr>
          <w:rFonts w:hAnsi="宋体"/>
        </w:rPr>
      </w:pPr>
      <w:r>
        <w:rPr>
          <w:rFonts w:hAnsi="宋体"/>
        </w:rPr>
        <w:t>__________________________________________________________________________________________</w:t>
      </w:r>
    </w:p>
    <w:p>
      <w:pPr>
        <w:pStyle w:val="17"/>
        <w:spacing w:line="500" w:lineRule="exact"/>
        <w:ind w:firstLine="420" w:firstLineChars="200"/>
        <w:rPr>
          <w:rFonts w:hAnsi="宋体"/>
        </w:rPr>
      </w:pPr>
      <w:r>
        <w:rPr>
          <w:rFonts w:hint="eastAsia" w:hAnsi="宋体"/>
        </w:rPr>
        <w:t>附：1、委托集采人工作单位：</w:t>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职务：</w:t>
      </w:r>
    </w:p>
    <w:p>
      <w:pPr>
        <w:pStyle w:val="17"/>
        <w:spacing w:line="500" w:lineRule="exact"/>
        <w:ind w:firstLine="420" w:firstLineChars="200"/>
        <w:rPr>
          <w:rFonts w:hAnsi="宋体"/>
        </w:rPr>
      </w:pPr>
      <w:r>
        <w:rPr>
          <w:rFonts w:hint="eastAsia" w:hAnsi="宋体"/>
        </w:rPr>
        <w:t xml:space="preserve">       身份证号码：</w:t>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性别：       年龄：</w:t>
      </w:r>
    </w:p>
    <w:p>
      <w:pPr>
        <w:pStyle w:val="17"/>
        <w:spacing w:line="500" w:lineRule="exact"/>
        <w:ind w:firstLine="420" w:firstLineChars="200"/>
        <w:rPr>
          <w:rFonts w:hAnsi="宋体"/>
        </w:rPr>
      </w:pPr>
      <w:r>
        <w:rPr>
          <w:rFonts w:hint="eastAsia" w:hAnsi="宋体"/>
        </w:rPr>
        <w:t xml:space="preserve">    2、委托人企业有效的营业执照号码：</w:t>
      </w:r>
    </w:p>
    <w:p>
      <w:pPr>
        <w:pStyle w:val="17"/>
        <w:spacing w:line="500" w:lineRule="exact"/>
        <w:ind w:firstLine="420" w:firstLineChars="200"/>
        <w:rPr>
          <w:rFonts w:hAnsi="宋体"/>
        </w:rPr>
      </w:pPr>
      <w:r>
        <w:rPr>
          <w:rFonts w:hint="eastAsia" w:hAnsi="宋体"/>
        </w:rPr>
        <w:t xml:space="preserve">       地址：</w:t>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经济性质：</w:t>
      </w:r>
    </w:p>
    <w:p>
      <w:pPr>
        <w:pStyle w:val="17"/>
        <w:spacing w:line="500" w:lineRule="exact"/>
        <w:ind w:firstLine="420" w:firstLineChars="200"/>
        <w:rPr>
          <w:rFonts w:hAnsi="宋体"/>
        </w:rPr>
      </w:pPr>
      <w:r>
        <w:rPr>
          <w:rFonts w:hint="eastAsia" w:hAnsi="宋体"/>
        </w:rPr>
        <w:t xml:space="preserve">       注册资金：</w:t>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ab/>
      </w:r>
      <w:r>
        <w:rPr>
          <w:rFonts w:hint="eastAsia" w:hAnsi="宋体"/>
        </w:rPr>
        <w:t>经营方式：</w:t>
      </w:r>
    </w:p>
    <w:p>
      <w:pPr>
        <w:pStyle w:val="17"/>
        <w:spacing w:line="500" w:lineRule="exact"/>
        <w:ind w:firstLine="420" w:firstLineChars="200"/>
        <w:rPr>
          <w:rFonts w:hAnsi="宋体"/>
        </w:rPr>
      </w:pPr>
      <w:r>
        <w:rPr>
          <w:rFonts w:hint="eastAsia" w:hAnsi="宋体"/>
        </w:rPr>
        <w:t xml:space="preserve">       经营范围：</w:t>
      </w:r>
    </w:p>
    <w:p>
      <w:pPr>
        <w:pStyle w:val="17"/>
        <w:spacing w:line="500" w:lineRule="exact"/>
        <w:ind w:firstLine="843" w:firstLineChars="400"/>
        <w:rPr>
          <w:rFonts w:hAnsi="宋体"/>
          <w:b/>
        </w:rPr>
      </w:pPr>
      <w:r>
        <w:rPr>
          <w:rFonts w:hint="eastAsia" w:hAnsi="宋体"/>
          <w:b/>
        </w:rPr>
        <w:t>3、法定代表人与委托集采人身份证复印件</w:t>
      </w:r>
    </w:p>
    <w:p>
      <w:pPr>
        <w:pStyle w:val="17"/>
        <w:spacing w:line="500" w:lineRule="exact"/>
        <w:ind w:firstLine="420" w:firstLineChars="200"/>
        <w:rPr>
          <w:rFonts w:hAnsi="宋体"/>
        </w:rPr>
      </w:pPr>
    </w:p>
    <w:p>
      <w:pPr>
        <w:pStyle w:val="17"/>
        <w:spacing w:line="500" w:lineRule="exact"/>
        <w:ind w:firstLine="420" w:firstLineChars="200"/>
        <w:rPr>
          <w:rFonts w:hAnsi="宋体"/>
        </w:rPr>
      </w:pPr>
      <w:r>
        <w:rPr>
          <w:rFonts w:hint="eastAsia" w:hAnsi="宋体"/>
        </w:rPr>
        <w:t>说明：</w:t>
      </w:r>
    </w:p>
    <w:p>
      <w:pPr>
        <w:pStyle w:val="17"/>
        <w:spacing w:line="500" w:lineRule="exact"/>
        <w:ind w:firstLine="420" w:firstLineChars="200"/>
        <w:rPr>
          <w:rFonts w:hAnsi="宋体"/>
        </w:rPr>
      </w:pPr>
      <w:r>
        <w:rPr>
          <w:rFonts w:hint="eastAsia" w:hAnsi="宋体"/>
        </w:rPr>
        <w:t>1．委托书内容填写要明确，文字要工整清楚，涂改无效。</w:t>
      </w:r>
    </w:p>
    <w:p>
      <w:pPr>
        <w:pStyle w:val="17"/>
        <w:spacing w:line="500" w:lineRule="exact"/>
        <w:ind w:firstLine="420" w:firstLineChars="200"/>
        <w:rPr>
          <w:rFonts w:hAnsi="宋体"/>
        </w:rPr>
      </w:pPr>
      <w:r>
        <w:rPr>
          <w:rFonts w:hint="eastAsia" w:hAnsi="宋体"/>
        </w:rPr>
        <w:t>2．委托书不得转借、转让，不得买卖。</w:t>
      </w:r>
    </w:p>
    <w:p>
      <w:pPr>
        <w:pStyle w:val="17"/>
        <w:spacing w:line="500" w:lineRule="exact"/>
        <w:ind w:left="735" w:leftChars="200" w:hanging="315" w:hangingChars="150"/>
        <w:rPr>
          <w:rFonts w:hAnsi="宋体"/>
        </w:rPr>
      </w:pPr>
      <w:r>
        <w:rPr>
          <w:rFonts w:hint="eastAsia" w:hAnsi="宋体"/>
        </w:rPr>
        <w:t>3．委托集采人根据授权范围，以委托单位的名义签订合同，并将此委托书提交给对方作为合同附件。</w:t>
      </w:r>
    </w:p>
    <w:p>
      <w:pPr>
        <w:pStyle w:val="17"/>
        <w:rPr>
          <w:rFonts w:hAnsi="宋体"/>
          <w:b/>
          <w:bCs/>
        </w:rPr>
      </w:pPr>
      <w:r>
        <w:rPr>
          <w:rFonts w:hint="eastAsia" w:hAnsi="宋体"/>
          <w:b/>
          <w:bCs/>
        </w:rPr>
        <w:t>注：未按照本法定代表人授权委托书的格式要求填写法定代表人授权委托书的，将造成非实质响应投标，从而导致该投标人投标无效。</w:t>
      </w:r>
    </w:p>
    <w:p>
      <w:pPr>
        <w:pStyle w:val="26"/>
        <w:jc w:val="left"/>
        <w:rPr>
          <w:rFonts w:ascii="宋体" w:hAnsi="宋体"/>
          <w:u w:val="single"/>
        </w:rPr>
      </w:pPr>
      <w:r>
        <w:rPr>
          <w:rFonts w:ascii="宋体" w:hAnsi="宋体"/>
          <w:b w:val="0"/>
          <w:bCs w:val="0"/>
        </w:rPr>
        <w:br w:type="page"/>
      </w:r>
      <w:r>
        <w:rPr>
          <w:rFonts w:hint="eastAsia" w:ascii="宋体" w:hAnsi="宋体"/>
          <w:sz w:val="21"/>
          <w:szCs w:val="21"/>
        </w:rPr>
        <w:t>格式5：声明</w:t>
      </w:r>
    </w:p>
    <w:p>
      <w:pPr>
        <w:pStyle w:val="127"/>
        <w:jc w:val="center"/>
        <w:rPr>
          <w:rFonts w:ascii="宋体" w:hAnsi="宋体" w:eastAsia="宋体"/>
          <w:sz w:val="30"/>
          <w:szCs w:val="30"/>
          <w:lang w:eastAsia="zh-CN"/>
        </w:rPr>
      </w:pPr>
      <w:r>
        <w:rPr>
          <w:rFonts w:hint="eastAsia" w:ascii="宋体" w:hAnsi="宋体" w:eastAsia="宋体"/>
          <w:lang w:eastAsia="zh-CN"/>
        </w:rPr>
        <w:t>参加政府采购活动前 3 年内在经营活动中没有重大违法记录的书面声明</w:t>
      </w:r>
    </w:p>
    <w:p>
      <w:pPr>
        <w:spacing w:line="460" w:lineRule="exact"/>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560" w:lineRule="exact"/>
        <w:rPr>
          <w:rFonts w:ascii="宋体" w:hAnsi="宋体"/>
          <w:b/>
          <w:bCs/>
          <w:sz w:val="24"/>
        </w:rPr>
      </w:pPr>
      <w:r>
        <w:rPr>
          <w:rFonts w:hint="eastAsia" w:ascii="宋体" w:hAnsi="宋体"/>
          <w:b/>
          <w:bCs/>
          <w:sz w:val="44"/>
          <w:szCs w:val="44"/>
        </w:rPr>
        <w:t xml:space="preserve">        </w:t>
      </w:r>
      <w:r>
        <w:rPr>
          <w:rFonts w:hint="eastAsia" w:ascii="宋体" w:hAnsi="宋体"/>
          <w:b/>
          <w:bCs/>
          <w:sz w:val="24"/>
        </w:rPr>
        <w:t xml:space="preserve">                      声  明   </w:t>
      </w:r>
    </w:p>
    <w:p>
      <w:pPr>
        <w:spacing w:line="560" w:lineRule="exact"/>
        <w:rPr>
          <w:rFonts w:ascii="宋体" w:hAnsi="宋体"/>
          <w:bCs/>
          <w:sz w:val="24"/>
        </w:rPr>
      </w:pPr>
      <w:r>
        <w:rPr>
          <w:rFonts w:hint="eastAsia" w:ascii="宋体" w:hAnsi="宋体"/>
          <w:b/>
          <w:bCs/>
          <w:sz w:val="24"/>
        </w:rPr>
        <w:t xml:space="preserve">    </w:t>
      </w: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560" w:lineRule="exact"/>
        <w:rPr>
          <w:rFonts w:ascii="宋体" w:hAnsi="宋体"/>
          <w:bCs/>
          <w:sz w:val="24"/>
        </w:rPr>
      </w:pPr>
      <w:r>
        <w:rPr>
          <w:rFonts w:hint="eastAsia" w:ascii="宋体" w:hAnsi="宋体"/>
          <w:bCs/>
          <w:sz w:val="24"/>
        </w:rPr>
        <w:t xml:space="preserve">                                      </w:t>
      </w:r>
    </w:p>
    <w:p>
      <w:pPr>
        <w:spacing w:line="560" w:lineRule="exact"/>
        <w:ind w:firstLine="5040" w:firstLineChars="2100"/>
        <w:rPr>
          <w:rFonts w:ascii="宋体" w:hAnsi="宋体"/>
          <w:bCs/>
          <w:sz w:val="24"/>
        </w:rPr>
      </w:pPr>
      <w:r>
        <w:rPr>
          <w:rFonts w:hint="eastAsia" w:ascii="宋体" w:hAnsi="宋体"/>
          <w:bCs/>
          <w:sz w:val="24"/>
        </w:rPr>
        <w:t>供应商名称（公章）：</w:t>
      </w:r>
    </w:p>
    <w:p>
      <w:pPr>
        <w:spacing w:line="560" w:lineRule="exact"/>
        <w:rPr>
          <w:rFonts w:ascii="宋体" w:hAnsi="宋体"/>
          <w:bCs/>
          <w:sz w:val="24"/>
        </w:rPr>
      </w:pPr>
      <w:r>
        <w:rPr>
          <w:rFonts w:hint="eastAsia" w:ascii="宋体" w:hAnsi="宋体"/>
          <w:bCs/>
          <w:sz w:val="24"/>
        </w:rPr>
        <w:t xml:space="preserve">                                          法定代表人或授权代表签字：</w:t>
      </w:r>
      <w:r>
        <w:rPr>
          <w:rFonts w:hint="eastAsia" w:ascii="宋体" w:hAnsi="宋体"/>
          <w:bCs/>
          <w:sz w:val="24"/>
          <w:u w:val="single"/>
        </w:rPr>
        <w:t>______</w:t>
      </w:r>
    </w:p>
    <w:p>
      <w:pPr>
        <w:spacing w:line="560" w:lineRule="exac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pStyle w:val="26"/>
        <w:jc w:val="left"/>
        <w:rPr>
          <w:rFonts w:ascii="宋体" w:hAnsi="宋体"/>
          <w:szCs w:val="21"/>
        </w:rPr>
      </w:pPr>
      <w:r>
        <w:rPr>
          <w:rFonts w:ascii="宋体" w:hAnsi="宋体"/>
          <w:bCs w:val="0"/>
          <w:sz w:val="24"/>
        </w:rPr>
        <w:br w:type="page"/>
      </w:r>
      <w:r>
        <w:rPr>
          <w:rFonts w:hint="eastAsia" w:ascii="宋体" w:hAnsi="宋体"/>
          <w:sz w:val="21"/>
          <w:szCs w:val="21"/>
        </w:rPr>
        <w:t>格式6：商务条款偏离表</w:t>
      </w:r>
    </w:p>
    <w:p>
      <w:pPr>
        <w:pStyle w:val="17"/>
        <w:spacing w:line="600" w:lineRule="exact"/>
        <w:jc w:val="center"/>
        <w:rPr>
          <w:rFonts w:hAnsi="宋体"/>
          <w:b/>
          <w:bCs/>
          <w:sz w:val="32"/>
        </w:rPr>
      </w:pPr>
      <w:r>
        <w:rPr>
          <w:rFonts w:hint="eastAsia" w:hAnsi="宋体"/>
          <w:b/>
          <w:bCs/>
          <w:sz w:val="32"/>
        </w:rPr>
        <w:t>商务条款偏离表（格式）</w:t>
      </w:r>
    </w:p>
    <w:p>
      <w:pPr>
        <w:pStyle w:val="17"/>
        <w:spacing w:line="400" w:lineRule="exact"/>
        <w:ind w:firstLine="420" w:firstLineChars="200"/>
        <w:rPr>
          <w:rFonts w:hAnsi="宋体"/>
        </w:rPr>
      </w:pPr>
      <w:r>
        <w:rPr>
          <w:rFonts w:hint="eastAsia" w:hAnsi="宋体"/>
        </w:rPr>
        <w:t>请逐条对应采购文件的“项目需求”和“</w:t>
      </w:r>
      <w:r>
        <w:rPr>
          <w:rFonts w:hint="eastAsia" w:hAnsi="宋体"/>
          <w:bCs/>
        </w:rPr>
        <w:t>合同专用条款表</w:t>
      </w:r>
      <w:r>
        <w:rPr>
          <w:rFonts w:hint="eastAsia" w:hAnsi="宋体"/>
        </w:rPr>
        <w:t>”中要求的商务条件，认真填写该表。</w:t>
      </w:r>
    </w:p>
    <w:p>
      <w:pPr>
        <w:pStyle w:val="17"/>
        <w:spacing w:line="400" w:lineRule="exact"/>
        <w:rPr>
          <w:rFonts w:hAnsi="宋体"/>
          <w:b/>
          <w:bCs/>
        </w:rPr>
      </w:pPr>
    </w:p>
    <w:tbl>
      <w:tblPr>
        <w:tblStyle w:val="4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717"/>
        <w:gridCol w:w="2498"/>
        <w:gridCol w:w="285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r>
              <w:rPr>
                <w:rFonts w:hint="eastAsia" w:hAnsi="宋体"/>
              </w:rPr>
              <w:t>分标号</w:t>
            </w:r>
          </w:p>
        </w:tc>
        <w:tc>
          <w:tcPr>
            <w:tcW w:w="717" w:type="dxa"/>
            <w:vAlign w:val="center"/>
          </w:tcPr>
          <w:p>
            <w:pPr>
              <w:pStyle w:val="17"/>
              <w:spacing w:line="600" w:lineRule="exact"/>
              <w:jc w:val="center"/>
              <w:rPr>
                <w:rFonts w:hAnsi="宋体"/>
              </w:rPr>
            </w:pPr>
            <w:r>
              <w:rPr>
                <w:rFonts w:hint="eastAsia" w:hAnsi="宋体"/>
              </w:rPr>
              <w:t>项号</w:t>
            </w:r>
          </w:p>
        </w:tc>
        <w:tc>
          <w:tcPr>
            <w:tcW w:w="2498" w:type="dxa"/>
            <w:vAlign w:val="center"/>
          </w:tcPr>
          <w:p>
            <w:pPr>
              <w:pStyle w:val="17"/>
              <w:spacing w:line="600" w:lineRule="exact"/>
              <w:jc w:val="center"/>
              <w:rPr>
                <w:rFonts w:hAnsi="宋体"/>
              </w:rPr>
            </w:pPr>
            <w:r>
              <w:rPr>
                <w:rFonts w:hint="eastAsia" w:hAnsi="宋体"/>
              </w:rPr>
              <w:t>采购文件的商务条款</w:t>
            </w:r>
          </w:p>
        </w:tc>
        <w:tc>
          <w:tcPr>
            <w:tcW w:w="2854" w:type="dxa"/>
            <w:vAlign w:val="center"/>
          </w:tcPr>
          <w:p>
            <w:pPr>
              <w:pStyle w:val="17"/>
              <w:spacing w:line="600" w:lineRule="exact"/>
              <w:jc w:val="center"/>
              <w:rPr>
                <w:rFonts w:hAnsi="宋体"/>
              </w:rPr>
            </w:pPr>
            <w:r>
              <w:rPr>
                <w:rFonts w:hint="eastAsia" w:hAnsi="宋体"/>
              </w:rPr>
              <w:t>投标文件的商务条款</w:t>
            </w:r>
          </w:p>
        </w:tc>
        <w:tc>
          <w:tcPr>
            <w:tcW w:w="2783" w:type="dxa"/>
            <w:vAlign w:val="center"/>
          </w:tcPr>
          <w:p>
            <w:pPr>
              <w:pStyle w:val="17"/>
              <w:spacing w:line="600" w:lineRule="exact"/>
              <w:jc w:val="center"/>
              <w:rPr>
                <w:rFonts w:hAnsi="宋体"/>
              </w:rPr>
            </w:pPr>
            <w:r>
              <w:rPr>
                <w:rFonts w:hint="eastAsia" w:hAnsi="宋体"/>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 w:type="dxa"/>
          </w:tcPr>
          <w:p>
            <w:pPr>
              <w:pStyle w:val="17"/>
              <w:spacing w:line="600" w:lineRule="exact"/>
              <w:rPr>
                <w:rFonts w:hAnsi="宋体"/>
              </w:rPr>
            </w:pPr>
          </w:p>
        </w:tc>
        <w:tc>
          <w:tcPr>
            <w:tcW w:w="717" w:type="dxa"/>
          </w:tcPr>
          <w:p>
            <w:pPr>
              <w:pStyle w:val="17"/>
              <w:spacing w:line="600" w:lineRule="exact"/>
              <w:rPr>
                <w:rFonts w:hAnsi="宋体"/>
              </w:rPr>
            </w:pPr>
          </w:p>
        </w:tc>
        <w:tc>
          <w:tcPr>
            <w:tcW w:w="2498" w:type="dxa"/>
          </w:tcPr>
          <w:p>
            <w:pPr>
              <w:pStyle w:val="17"/>
              <w:spacing w:line="600" w:lineRule="exact"/>
              <w:rPr>
                <w:rFonts w:hAnsi="宋体"/>
              </w:rPr>
            </w:pPr>
          </w:p>
        </w:tc>
        <w:tc>
          <w:tcPr>
            <w:tcW w:w="2854" w:type="dxa"/>
          </w:tcPr>
          <w:p>
            <w:pPr>
              <w:pStyle w:val="17"/>
              <w:spacing w:line="600" w:lineRule="exact"/>
              <w:rPr>
                <w:rFonts w:hAnsi="宋体"/>
              </w:rPr>
            </w:pPr>
          </w:p>
        </w:tc>
        <w:tc>
          <w:tcPr>
            <w:tcW w:w="2783" w:type="dxa"/>
          </w:tcPr>
          <w:p>
            <w:pPr>
              <w:pStyle w:val="17"/>
              <w:spacing w:line="600" w:lineRule="exact"/>
              <w:rPr>
                <w:rFonts w:hAnsi="宋体"/>
              </w:rPr>
            </w:pPr>
          </w:p>
        </w:tc>
      </w:tr>
    </w:tbl>
    <w:p>
      <w:pPr>
        <w:pStyle w:val="17"/>
        <w:spacing w:line="600" w:lineRule="exact"/>
        <w:rPr>
          <w:rFonts w:hAnsi="宋体"/>
        </w:rPr>
      </w:pPr>
      <w:r>
        <w:rPr>
          <w:rFonts w:hint="eastAsia" w:hAnsi="宋体"/>
        </w:rPr>
        <w:t>注：“偏离”系指“正偏离”、“负偏离”或“无偏离”。</w:t>
      </w:r>
    </w:p>
    <w:p>
      <w:pPr>
        <w:pStyle w:val="17"/>
        <w:spacing w:line="600" w:lineRule="exact"/>
        <w:rPr>
          <w:rFonts w:hAnsi="宋体"/>
        </w:rPr>
      </w:pPr>
    </w:p>
    <w:p>
      <w:pPr>
        <w:pStyle w:val="17"/>
        <w:spacing w:line="600" w:lineRule="exact"/>
        <w:rPr>
          <w:rFonts w:hAnsi="宋体"/>
        </w:rPr>
      </w:pPr>
      <w:r>
        <w:rPr>
          <w:rFonts w:hint="eastAsia" w:hAnsi="宋体"/>
        </w:rPr>
        <w:t>法定代表人或其委托集采人签字（或盖章）：</w:t>
      </w:r>
      <w:r>
        <w:rPr>
          <w:rFonts w:hint="eastAsia" w:hAnsi="宋体"/>
          <w:u w:val="single"/>
        </w:rPr>
        <w:t xml:space="preserve">                </w:t>
      </w:r>
    </w:p>
    <w:p>
      <w:pPr>
        <w:pStyle w:val="17"/>
        <w:spacing w:line="600" w:lineRule="exact"/>
        <w:rPr>
          <w:rFonts w:hAnsi="宋体"/>
        </w:rPr>
      </w:pPr>
    </w:p>
    <w:p>
      <w:pPr>
        <w:pStyle w:val="17"/>
        <w:spacing w:line="600" w:lineRule="exact"/>
        <w:rPr>
          <w:rFonts w:hAnsi="宋体"/>
        </w:rPr>
      </w:pPr>
      <w:r>
        <w:rPr>
          <w:rFonts w:hint="eastAsia" w:hAnsi="宋体"/>
        </w:rPr>
        <w:t>投标人（公章）：</w:t>
      </w:r>
      <w:r>
        <w:rPr>
          <w:rFonts w:hint="eastAsia" w:hAnsi="宋体"/>
          <w:u w:val="single"/>
        </w:rPr>
        <w:t xml:space="preserve">                                        </w:t>
      </w:r>
    </w:p>
    <w:p>
      <w:pPr>
        <w:rPr>
          <w:rFonts w:ascii="宋体" w:hAnsi="宋体"/>
          <w:sz w:val="28"/>
        </w:rPr>
      </w:pPr>
    </w:p>
    <w:p>
      <w:pPr>
        <w:pStyle w:val="17"/>
        <w:spacing w:line="500" w:lineRule="exact"/>
        <w:rPr>
          <w:rFonts w:hAnsi="宋体"/>
          <w:szCs w:val="21"/>
        </w:rPr>
      </w:pPr>
    </w:p>
    <w:p>
      <w:pPr>
        <w:pStyle w:val="17"/>
        <w:spacing w:line="500" w:lineRule="exact"/>
        <w:rPr>
          <w:rFonts w:hAnsi="宋体"/>
          <w:szCs w:val="21"/>
        </w:rPr>
      </w:pPr>
    </w:p>
    <w:p>
      <w:pPr>
        <w:pStyle w:val="17"/>
        <w:spacing w:line="500" w:lineRule="exact"/>
        <w:rPr>
          <w:rFonts w:hAnsi="宋体"/>
          <w:szCs w:val="21"/>
        </w:rPr>
      </w:pPr>
    </w:p>
    <w:p>
      <w:pPr>
        <w:pStyle w:val="17"/>
        <w:spacing w:line="500" w:lineRule="exact"/>
        <w:rPr>
          <w:rFonts w:hAnsi="宋体"/>
          <w:szCs w:val="21"/>
        </w:rPr>
      </w:pPr>
    </w:p>
    <w:p>
      <w:pPr>
        <w:pStyle w:val="26"/>
        <w:jc w:val="left"/>
        <w:rPr>
          <w:rFonts w:ascii="宋体" w:hAnsi="宋体"/>
          <w:sz w:val="21"/>
          <w:szCs w:val="21"/>
        </w:rPr>
      </w:pPr>
      <w:r>
        <w:rPr>
          <w:rFonts w:hint="eastAsia" w:ascii="宋体" w:hAnsi="宋体"/>
          <w:sz w:val="21"/>
          <w:szCs w:val="21"/>
        </w:rPr>
        <w:t>格式7：售后服务承诺书</w:t>
      </w:r>
    </w:p>
    <w:p>
      <w:pPr>
        <w:pStyle w:val="17"/>
        <w:jc w:val="center"/>
        <w:rPr>
          <w:rFonts w:hAnsi="宋体"/>
          <w:b/>
          <w:sz w:val="32"/>
        </w:rPr>
      </w:pPr>
      <w:r>
        <w:rPr>
          <w:rFonts w:hint="eastAsia" w:hAnsi="宋体"/>
          <w:b/>
          <w:sz w:val="32"/>
        </w:rPr>
        <w:t>售后服务承诺书（格式）</w:t>
      </w:r>
    </w:p>
    <w:p>
      <w:pPr>
        <w:pStyle w:val="17"/>
        <w:jc w:val="center"/>
        <w:rPr>
          <w:rFonts w:hAnsi="宋体"/>
        </w:rPr>
      </w:pPr>
      <w:r>
        <w:rPr>
          <w:rFonts w:hint="eastAsia" w:hAnsi="宋体"/>
        </w:rPr>
        <w:t>(由投标人按《项目需求》该分标售后服务及要求自行分别填写)</w:t>
      </w:r>
    </w:p>
    <w:p>
      <w:pPr>
        <w:pStyle w:val="17"/>
        <w:spacing w:line="500" w:lineRule="exact"/>
        <w:rPr>
          <w:rFonts w:hAnsi="宋体"/>
          <w:szCs w:val="21"/>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7"/>
        <w:spacing w:line="600" w:lineRule="exact"/>
        <w:rPr>
          <w:rFonts w:hAnsi="宋体"/>
        </w:rPr>
      </w:pPr>
      <w:r>
        <w:rPr>
          <w:rFonts w:hint="eastAsia" w:hAnsi="宋体"/>
        </w:rPr>
        <w:t>法定代表人或其委托集采人签字（或盖章）：</w:t>
      </w:r>
      <w:r>
        <w:rPr>
          <w:rFonts w:hint="eastAsia" w:hAnsi="宋体"/>
          <w:u w:val="single"/>
        </w:rPr>
        <w:t xml:space="preserve">                </w:t>
      </w:r>
    </w:p>
    <w:p>
      <w:pPr>
        <w:pStyle w:val="17"/>
        <w:spacing w:line="600" w:lineRule="exact"/>
        <w:rPr>
          <w:rFonts w:hAnsi="宋体"/>
        </w:rPr>
      </w:pPr>
    </w:p>
    <w:p>
      <w:pPr>
        <w:pStyle w:val="17"/>
        <w:spacing w:line="600" w:lineRule="exact"/>
        <w:rPr>
          <w:rFonts w:hAnsi="宋体"/>
        </w:rPr>
      </w:pPr>
      <w:r>
        <w:rPr>
          <w:rFonts w:hint="eastAsia" w:hAnsi="宋体"/>
        </w:rPr>
        <w:t>投标人（公章）：</w:t>
      </w:r>
      <w:r>
        <w:rPr>
          <w:rFonts w:hint="eastAsia" w:hAnsi="宋体"/>
          <w:u w:val="single"/>
        </w:rPr>
        <w:t xml:space="preserve">                                        </w:t>
      </w:r>
    </w:p>
    <w:p>
      <w:pPr>
        <w:rPr>
          <w:rFonts w:ascii="宋体" w:hAnsi="宋体"/>
          <w:sz w:val="28"/>
        </w:rPr>
      </w:pPr>
    </w:p>
    <w:p>
      <w:pPr>
        <w:pStyle w:val="17"/>
        <w:rPr>
          <w:rFonts w:hAnsi="宋体"/>
          <w:b/>
          <w:bCs/>
        </w:rPr>
      </w:pPr>
    </w:p>
    <w:p>
      <w:pPr>
        <w:pStyle w:val="17"/>
        <w:rPr>
          <w:rFonts w:hAnsi="宋体"/>
          <w:b/>
          <w:bCs/>
        </w:rPr>
      </w:pPr>
    </w:p>
    <w:p>
      <w:pPr>
        <w:pStyle w:val="26"/>
        <w:jc w:val="left"/>
        <w:rPr>
          <w:rFonts w:ascii="宋体" w:hAnsi="宋体"/>
          <w:sz w:val="21"/>
          <w:szCs w:val="21"/>
        </w:rPr>
      </w:pPr>
      <w:r>
        <w:rPr>
          <w:rFonts w:hint="eastAsia" w:ascii="宋体" w:hAnsi="宋体"/>
          <w:sz w:val="21"/>
          <w:szCs w:val="21"/>
        </w:rPr>
        <w:t>格式8：技术规格偏离表</w:t>
      </w:r>
    </w:p>
    <w:p>
      <w:pPr>
        <w:pStyle w:val="17"/>
        <w:jc w:val="center"/>
        <w:rPr>
          <w:rFonts w:hAnsi="宋体"/>
          <w:sz w:val="28"/>
        </w:rPr>
      </w:pPr>
      <w:r>
        <w:rPr>
          <w:rFonts w:hint="eastAsia" w:hAnsi="宋体"/>
          <w:b/>
          <w:bCs/>
          <w:sz w:val="32"/>
        </w:rPr>
        <w:t>技术规格偏离表（格式）</w:t>
      </w:r>
    </w:p>
    <w:p>
      <w:pPr>
        <w:pStyle w:val="17"/>
        <w:ind w:firstLine="210" w:firstLineChars="100"/>
        <w:rPr>
          <w:rFonts w:hAnsi="宋体"/>
        </w:rPr>
      </w:pPr>
      <w:r>
        <w:rPr>
          <w:rFonts w:hAnsi="宋体"/>
        </w:rPr>
        <w:t xml:space="preserve">  </w:t>
      </w:r>
      <w:r>
        <w:rPr>
          <w:rFonts w:hint="eastAsia" w:hAnsi="宋体"/>
        </w:rPr>
        <w:t>请按所投产品的实际技术参数，逐条对应招标文件的“项目需求”中要求的技术规范认真填写该表，该表不能作为所投产品的技术文件，投标人应在投标文件中单独提供技术文件。</w:t>
      </w:r>
    </w:p>
    <w:tbl>
      <w:tblPr>
        <w:tblStyle w:val="41"/>
        <w:tblW w:w="1014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1021"/>
        <w:gridCol w:w="360"/>
        <w:gridCol w:w="2520"/>
        <w:gridCol w:w="1116"/>
        <w:gridCol w:w="357"/>
        <w:gridCol w:w="1120"/>
        <w:gridCol w:w="206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trPr>
        <w:tc>
          <w:tcPr>
            <w:tcW w:w="419" w:type="dxa"/>
            <w:vMerge w:val="restart"/>
            <w:vAlign w:val="center"/>
          </w:tcPr>
          <w:p>
            <w:pPr>
              <w:pStyle w:val="17"/>
              <w:jc w:val="center"/>
              <w:rPr>
                <w:rFonts w:hAnsi="宋体"/>
                <w:sz w:val="18"/>
                <w:szCs w:val="18"/>
              </w:rPr>
            </w:pPr>
            <w:r>
              <w:rPr>
                <w:rFonts w:hint="eastAsia" w:hAnsi="宋体"/>
                <w:sz w:val="18"/>
                <w:szCs w:val="18"/>
              </w:rPr>
              <w:t>项号</w:t>
            </w:r>
          </w:p>
        </w:tc>
        <w:tc>
          <w:tcPr>
            <w:tcW w:w="3901" w:type="dxa"/>
            <w:gridSpan w:val="3"/>
            <w:vAlign w:val="center"/>
          </w:tcPr>
          <w:p>
            <w:pPr>
              <w:pStyle w:val="17"/>
              <w:jc w:val="center"/>
              <w:rPr>
                <w:rFonts w:hAnsi="宋体"/>
                <w:sz w:val="18"/>
                <w:szCs w:val="18"/>
              </w:rPr>
            </w:pPr>
            <w:r>
              <w:rPr>
                <w:rFonts w:hint="eastAsia" w:hAnsi="宋体"/>
                <w:sz w:val="18"/>
                <w:szCs w:val="18"/>
              </w:rPr>
              <w:t>采购文件需求</w:t>
            </w:r>
          </w:p>
        </w:tc>
        <w:tc>
          <w:tcPr>
            <w:tcW w:w="4660" w:type="dxa"/>
            <w:gridSpan w:val="4"/>
            <w:vAlign w:val="center"/>
          </w:tcPr>
          <w:p>
            <w:pPr>
              <w:jc w:val="center"/>
              <w:rPr>
                <w:rFonts w:ascii="宋体" w:hAnsi="宋体"/>
                <w:sz w:val="18"/>
                <w:szCs w:val="18"/>
              </w:rPr>
            </w:pPr>
            <w:r>
              <w:rPr>
                <w:rFonts w:hint="eastAsia" w:ascii="宋体" w:hAnsi="宋体"/>
                <w:sz w:val="18"/>
                <w:szCs w:val="18"/>
              </w:rPr>
              <w:t>投标文件规格及技术参数</w:t>
            </w:r>
          </w:p>
        </w:tc>
        <w:tc>
          <w:tcPr>
            <w:tcW w:w="1168" w:type="dxa"/>
            <w:vMerge w:val="restart"/>
            <w:vAlign w:val="center"/>
          </w:tcPr>
          <w:p>
            <w:pPr>
              <w:jc w:val="center"/>
              <w:rPr>
                <w:rFonts w:ascii="宋体" w:hAnsi="宋体"/>
                <w:sz w:val="18"/>
                <w:szCs w:val="18"/>
              </w:rPr>
            </w:pPr>
            <w:r>
              <w:rPr>
                <w:rFonts w:hint="eastAsia" w:ascii="宋体" w:hAnsi="宋体"/>
                <w:sz w:val="18"/>
                <w:szCs w:val="1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5" w:hRule="atLeast"/>
        </w:trPr>
        <w:tc>
          <w:tcPr>
            <w:tcW w:w="419" w:type="dxa"/>
            <w:vMerge w:val="continue"/>
            <w:vAlign w:val="center"/>
          </w:tcPr>
          <w:p>
            <w:pPr>
              <w:pStyle w:val="17"/>
              <w:jc w:val="center"/>
              <w:rPr>
                <w:rFonts w:hAnsi="宋体"/>
                <w:sz w:val="18"/>
                <w:szCs w:val="18"/>
              </w:rPr>
            </w:pPr>
          </w:p>
        </w:tc>
        <w:tc>
          <w:tcPr>
            <w:tcW w:w="1021" w:type="dxa"/>
            <w:vAlign w:val="center"/>
          </w:tcPr>
          <w:p>
            <w:pPr>
              <w:pStyle w:val="17"/>
              <w:jc w:val="center"/>
              <w:rPr>
                <w:rFonts w:hAnsi="宋体"/>
                <w:sz w:val="18"/>
                <w:szCs w:val="18"/>
              </w:rPr>
            </w:pPr>
            <w:r>
              <w:rPr>
                <w:rFonts w:hint="eastAsia" w:hAnsi="宋体"/>
                <w:sz w:val="18"/>
                <w:szCs w:val="18"/>
              </w:rPr>
              <w:t>货物名称</w:t>
            </w:r>
          </w:p>
        </w:tc>
        <w:tc>
          <w:tcPr>
            <w:tcW w:w="360" w:type="dxa"/>
            <w:vAlign w:val="center"/>
          </w:tcPr>
          <w:p>
            <w:pPr>
              <w:pStyle w:val="17"/>
              <w:jc w:val="center"/>
              <w:rPr>
                <w:rFonts w:hAnsi="宋体"/>
                <w:sz w:val="18"/>
                <w:szCs w:val="18"/>
              </w:rPr>
            </w:pPr>
            <w:r>
              <w:rPr>
                <w:rFonts w:hint="eastAsia" w:hAnsi="宋体"/>
                <w:sz w:val="18"/>
                <w:szCs w:val="18"/>
              </w:rPr>
              <w:t>数量</w:t>
            </w:r>
          </w:p>
        </w:tc>
        <w:tc>
          <w:tcPr>
            <w:tcW w:w="2520" w:type="dxa"/>
            <w:vAlign w:val="center"/>
          </w:tcPr>
          <w:p>
            <w:pPr>
              <w:pStyle w:val="17"/>
              <w:jc w:val="center"/>
              <w:rPr>
                <w:rFonts w:hAnsi="宋体"/>
                <w:sz w:val="18"/>
                <w:szCs w:val="18"/>
              </w:rPr>
            </w:pPr>
            <w:r>
              <w:rPr>
                <w:rFonts w:hint="eastAsia" w:hAnsi="宋体"/>
                <w:sz w:val="18"/>
                <w:szCs w:val="18"/>
              </w:rPr>
              <w:t>技术参数要求</w:t>
            </w:r>
          </w:p>
        </w:tc>
        <w:tc>
          <w:tcPr>
            <w:tcW w:w="1116" w:type="dxa"/>
            <w:vAlign w:val="center"/>
          </w:tcPr>
          <w:p>
            <w:pPr>
              <w:jc w:val="center"/>
              <w:rPr>
                <w:rFonts w:ascii="宋体" w:hAnsi="宋体"/>
                <w:sz w:val="18"/>
                <w:szCs w:val="18"/>
              </w:rPr>
            </w:pPr>
            <w:r>
              <w:rPr>
                <w:rFonts w:hint="eastAsia" w:ascii="宋体" w:hAnsi="宋体"/>
                <w:sz w:val="18"/>
                <w:szCs w:val="18"/>
              </w:rPr>
              <w:t>货物名称</w:t>
            </w:r>
          </w:p>
        </w:tc>
        <w:tc>
          <w:tcPr>
            <w:tcW w:w="357" w:type="dxa"/>
            <w:vAlign w:val="center"/>
          </w:tcPr>
          <w:p>
            <w:pPr>
              <w:jc w:val="center"/>
              <w:rPr>
                <w:rFonts w:ascii="宋体" w:hAnsi="宋体"/>
                <w:sz w:val="18"/>
                <w:szCs w:val="18"/>
              </w:rPr>
            </w:pPr>
            <w:r>
              <w:rPr>
                <w:rFonts w:hint="eastAsia" w:ascii="宋体" w:hAnsi="宋体"/>
                <w:sz w:val="18"/>
                <w:szCs w:val="18"/>
              </w:rPr>
              <w:t>数量</w:t>
            </w:r>
          </w:p>
        </w:tc>
        <w:tc>
          <w:tcPr>
            <w:tcW w:w="1120" w:type="dxa"/>
            <w:vAlign w:val="center"/>
          </w:tcPr>
          <w:p>
            <w:pPr>
              <w:jc w:val="center"/>
              <w:rPr>
                <w:rFonts w:ascii="宋体" w:hAnsi="宋体"/>
                <w:sz w:val="18"/>
                <w:szCs w:val="18"/>
              </w:rPr>
            </w:pPr>
            <w:r>
              <w:rPr>
                <w:rFonts w:hint="eastAsia" w:ascii="宋体" w:hAnsi="宋体"/>
                <w:sz w:val="18"/>
                <w:szCs w:val="18"/>
              </w:rPr>
              <w:t>品牌、厂家、型号规格</w:t>
            </w:r>
          </w:p>
        </w:tc>
        <w:tc>
          <w:tcPr>
            <w:tcW w:w="2067" w:type="dxa"/>
            <w:vAlign w:val="center"/>
          </w:tcPr>
          <w:p>
            <w:pPr>
              <w:jc w:val="center"/>
              <w:rPr>
                <w:rFonts w:ascii="宋体" w:hAnsi="宋体"/>
                <w:sz w:val="18"/>
                <w:szCs w:val="18"/>
              </w:rPr>
            </w:pPr>
            <w:r>
              <w:rPr>
                <w:rFonts w:hint="eastAsia" w:ascii="宋体" w:hAnsi="宋体"/>
                <w:sz w:val="18"/>
                <w:szCs w:val="18"/>
              </w:rPr>
              <w:t>技术参数</w:t>
            </w:r>
          </w:p>
        </w:tc>
        <w:tc>
          <w:tcPr>
            <w:tcW w:w="1168" w:type="dxa"/>
            <w:vMerge w:val="continue"/>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9" w:type="dxa"/>
            <w:vAlign w:val="center"/>
          </w:tcPr>
          <w:p>
            <w:pPr>
              <w:pStyle w:val="17"/>
              <w:spacing w:line="600" w:lineRule="exact"/>
              <w:jc w:val="center"/>
              <w:rPr>
                <w:rFonts w:hAnsi="宋体"/>
                <w:sz w:val="18"/>
                <w:szCs w:val="18"/>
              </w:rPr>
            </w:pPr>
          </w:p>
        </w:tc>
        <w:tc>
          <w:tcPr>
            <w:tcW w:w="1021" w:type="dxa"/>
            <w:vAlign w:val="center"/>
          </w:tcPr>
          <w:p>
            <w:pPr>
              <w:pStyle w:val="17"/>
              <w:spacing w:line="600" w:lineRule="exact"/>
              <w:jc w:val="center"/>
              <w:rPr>
                <w:rFonts w:hAnsi="宋体"/>
                <w:sz w:val="18"/>
                <w:szCs w:val="18"/>
              </w:rPr>
            </w:pPr>
          </w:p>
        </w:tc>
        <w:tc>
          <w:tcPr>
            <w:tcW w:w="360" w:type="dxa"/>
            <w:vAlign w:val="center"/>
          </w:tcPr>
          <w:p>
            <w:pPr>
              <w:pStyle w:val="17"/>
              <w:spacing w:line="600" w:lineRule="exact"/>
              <w:jc w:val="center"/>
              <w:rPr>
                <w:rFonts w:hAnsi="宋体"/>
                <w:sz w:val="18"/>
                <w:szCs w:val="18"/>
              </w:rPr>
            </w:pPr>
          </w:p>
        </w:tc>
        <w:tc>
          <w:tcPr>
            <w:tcW w:w="2520" w:type="dxa"/>
            <w:vAlign w:val="center"/>
          </w:tcPr>
          <w:p>
            <w:pPr>
              <w:pStyle w:val="17"/>
              <w:spacing w:line="600" w:lineRule="exact"/>
              <w:jc w:val="center"/>
              <w:rPr>
                <w:rFonts w:hAnsi="宋体"/>
                <w:sz w:val="18"/>
                <w:szCs w:val="18"/>
              </w:rPr>
            </w:pPr>
          </w:p>
        </w:tc>
        <w:tc>
          <w:tcPr>
            <w:tcW w:w="1116" w:type="dxa"/>
            <w:vAlign w:val="center"/>
          </w:tcPr>
          <w:p>
            <w:pPr>
              <w:pStyle w:val="17"/>
              <w:spacing w:line="600" w:lineRule="exact"/>
              <w:jc w:val="center"/>
              <w:rPr>
                <w:rFonts w:hAnsi="宋体"/>
                <w:sz w:val="18"/>
                <w:szCs w:val="18"/>
              </w:rPr>
            </w:pPr>
          </w:p>
        </w:tc>
        <w:tc>
          <w:tcPr>
            <w:tcW w:w="357" w:type="dxa"/>
            <w:vAlign w:val="center"/>
          </w:tcPr>
          <w:p>
            <w:pPr>
              <w:pStyle w:val="17"/>
              <w:spacing w:line="600" w:lineRule="exact"/>
              <w:jc w:val="center"/>
              <w:rPr>
                <w:rFonts w:hAnsi="宋体"/>
                <w:sz w:val="18"/>
                <w:szCs w:val="18"/>
              </w:rPr>
            </w:pPr>
          </w:p>
        </w:tc>
        <w:tc>
          <w:tcPr>
            <w:tcW w:w="1120" w:type="dxa"/>
            <w:vAlign w:val="center"/>
          </w:tcPr>
          <w:p>
            <w:pPr>
              <w:pStyle w:val="17"/>
              <w:spacing w:line="600" w:lineRule="exact"/>
              <w:jc w:val="center"/>
              <w:rPr>
                <w:rFonts w:hAnsi="宋体"/>
                <w:sz w:val="18"/>
                <w:szCs w:val="18"/>
              </w:rPr>
            </w:pPr>
          </w:p>
        </w:tc>
        <w:tc>
          <w:tcPr>
            <w:tcW w:w="2067" w:type="dxa"/>
            <w:vAlign w:val="center"/>
          </w:tcPr>
          <w:p>
            <w:pPr>
              <w:pStyle w:val="17"/>
              <w:spacing w:line="600" w:lineRule="exact"/>
              <w:jc w:val="center"/>
              <w:rPr>
                <w:rFonts w:hAnsi="宋体"/>
                <w:sz w:val="18"/>
                <w:szCs w:val="18"/>
              </w:rPr>
            </w:pPr>
          </w:p>
        </w:tc>
        <w:tc>
          <w:tcPr>
            <w:tcW w:w="1168" w:type="dxa"/>
            <w:vAlign w:val="center"/>
          </w:tcPr>
          <w:p>
            <w:pPr>
              <w:pStyle w:val="17"/>
              <w:spacing w:line="600" w:lineRule="exact"/>
              <w:jc w:val="center"/>
              <w:rPr>
                <w:rFonts w:hAnsi="宋体"/>
                <w:sz w:val="18"/>
                <w:szCs w:val="18"/>
              </w:rPr>
            </w:pPr>
          </w:p>
        </w:tc>
      </w:tr>
    </w:tbl>
    <w:p>
      <w:pPr>
        <w:pStyle w:val="17"/>
        <w:spacing w:line="600" w:lineRule="exact"/>
        <w:rPr>
          <w:rFonts w:hAnsi="宋体"/>
        </w:rPr>
      </w:pPr>
      <w:r>
        <w:rPr>
          <w:rFonts w:hint="eastAsia" w:hAnsi="宋体"/>
        </w:rPr>
        <w:t>注：“偏离”系指“正偏离”、“负偏离”或“无偏离”。</w:t>
      </w:r>
    </w:p>
    <w:p>
      <w:pPr>
        <w:pStyle w:val="17"/>
        <w:spacing w:line="600" w:lineRule="exact"/>
        <w:rPr>
          <w:rFonts w:hAnsi="宋体"/>
        </w:rPr>
      </w:pPr>
    </w:p>
    <w:p>
      <w:pPr>
        <w:pStyle w:val="17"/>
        <w:spacing w:line="600" w:lineRule="exact"/>
        <w:rPr>
          <w:rFonts w:hAnsi="宋体"/>
        </w:rPr>
      </w:pPr>
      <w:r>
        <w:rPr>
          <w:rFonts w:hint="eastAsia" w:hAnsi="宋体"/>
        </w:rPr>
        <w:t>法定代表人或其委托集采人签字（或盖章）：</w:t>
      </w:r>
      <w:r>
        <w:rPr>
          <w:rFonts w:hint="eastAsia" w:hAnsi="宋体"/>
          <w:u w:val="single"/>
        </w:rPr>
        <w:t xml:space="preserve">                </w:t>
      </w:r>
    </w:p>
    <w:p>
      <w:pPr>
        <w:pStyle w:val="17"/>
        <w:spacing w:line="600" w:lineRule="exact"/>
        <w:rPr>
          <w:rFonts w:hAnsi="宋体"/>
        </w:rPr>
      </w:pPr>
    </w:p>
    <w:p>
      <w:pPr>
        <w:pStyle w:val="17"/>
        <w:spacing w:line="600" w:lineRule="exact"/>
        <w:rPr>
          <w:rFonts w:hAnsi="宋体"/>
          <w:u w:val="single"/>
        </w:rPr>
      </w:pPr>
      <w:r>
        <w:rPr>
          <w:rFonts w:hint="eastAsia" w:hAnsi="宋体"/>
        </w:rPr>
        <w:t>投标人（公章）：</w:t>
      </w:r>
      <w:r>
        <w:rPr>
          <w:rFonts w:hint="eastAsia" w:hAnsi="宋体"/>
          <w:u w:val="single"/>
        </w:rPr>
        <w:t xml:space="preserve">                                        </w:t>
      </w:r>
    </w:p>
    <w:p>
      <w:pPr>
        <w:pStyle w:val="26"/>
        <w:jc w:val="left"/>
        <w:rPr>
          <w:rFonts w:ascii="宋体" w:hAnsi="宋体"/>
          <w:sz w:val="21"/>
          <w:szCs w:val="21"/>
        </w:rPr>
      </w:pPr>
      <w:r>
        <w:rPr>
          <w:rFonts w:ascii="宋体" w:hAnsi="宋体"/>
          <w:u w:val="single"/>
        </w:rPr>
        <w:br w:type="page"/>
      </w:r>
      <w:r>
        <w:rPr>
          <w:rFonts w:hint="eastAsia" w:ascii="宋体" w:hAnsi="宋体"/>
          <w:sz w:val="21"/>
          <w:szCs w:val="21"/>
        </w:rPr>
        <w:t>格式9：项目需求响应方案</w:t>
      </w:r>
    </w:p>
    <w:p>
      <w:pPr>
        <w:pStyle w:val="17"/>
        <w:jc w:val="center"/>
        <w:rPr>
          <w:rFonts w:hAnsi="宋体"/>
          <w:b/>
          <w:sz w:val="32"/>
        </w:rPr>
      </w:pPr>
      <w:r>
        <w:rPr>
          <w:rFonts w:hint="eastAsia" w:hAnsi="宋体"/>
          <w:b/>
          <w:sz w:val="32"/>
        </w:rPr>
        <w:t>项目需求响应方案</w:t>
      </w:r>
    </w:p>
    <w:p>
      <w:pPr>
        <w:pStyle w:val="17"/>
        <w:jc w:val="center"/>
        <w:rPr>
          <w:rFonts w:hAnsi="宋体"/>
        </w:rPr>
      </w:pPr>
      <w:r>
        <w:rPr>
          <w:rFonts w:hint="eastAsia" w:hAnsi="宋体"/>
        </w:rPr>
        <w:t>(由投标人按《项目需求》该分标技术要求等自行填写，格式自定)</w:t>
      </w:r>
    </w:p>
    <w:p>
      <w:pPr>
        <w:pStyle w:val="17"/>
        <w:spacing w:line="500" w:lineRule="exact"/>
        <w:rPr>
          <w:rFonts w:hAnsi="宋体"/>
          <w:szCs w:val="21"/>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pStyle w:val="17"/>
        <w:spacing w:line="600" w:lineRule="exact"/>
        <w:rPr>
          <w:rFonts w:hAnsi="宋体"/>
        </w:rPr>
      </w:pPr>
      <w:r>
        <w:rPr>
          <w:rFonts w:hint="eastAsia" w:hAnsi="宋体"/>
        </w:rPr>
        <w:t>法定代表人或其委托集采人签字（或盖章）：</w:t>
      </w:r>
      <w:r>
        <w:rPr>
          <w:rFonts w:hint="eastAsia" w:hAnsi="宋体"/>
          <w:u w:val="single"/>
        </w:rPr>
        <w:t xml:space="preserve">                </w:t>
      </w:r>
    </w:p>
    <w:p>
      <w:pPr>
        <w:pStyle w:val="17"/>
        <w:spacing w:line="600" w:lineRule="exact"/>
        <w:rPr>
          <w:rFonts w:hAnsi="宋体"/>
        </w:rPr>
      </w:pPr>
    </w:p>
    <w:p>
      <w:pPr>
        <w:pStyle w:val="17"/>
        <w:spacing w:line="600" w:lineRule="exact"/>
        <w:rPr>
          <w:rFonts w:hAnsi="宋体"/>
          <w:u w:val="single"/>
        </w:rPr>
      </w:pPr>
      <w:r>
        <w:rPr>
          <w:rFonts w:hint="eastAsia" w:hAnsi="宋体"/>
        </w:rPr>
        <w:t>投标人（公章）：</w:t>
      </w:r>
      <w:r>
        <w:rPr>
          <w:rFonts w:hint="eastAsia" w:hAnsi="宋体"/>
          <w:u w:val="single"/>
        </w:rPr>
        <w:t xml:space="preserve">                                        </w:t>
      </w:r>
    </w:p>
    <w:p>
      <w:pPr>
        <w:pStyle w:val="26"/>
        <w:jc w:val="left"/>
        <w:rPr>
          <w:rFonts w:ascii="宋体" w:hAnsi="宋体"/>
          <w:sz w:val="21"/>
          <w:szCs w:val="21"/>
        </w:rPr>
      </w:pPr>
      <w:r>
        <w:rPr>
          <w:rFonts w:hAnsi="宋体"/>
          <w:u w:val="single"/>
        </w:rPr>
        <w:br w:type="page"/>
      </w:r>
      <w:r>
        <w:rPr>
          <w:rFonts w:hint="eastAsia" w:ascii="宋体" w:hAnsi="宋体"/>
          <w:sz w:val="21"/>
          <w:szCs w:val="21"/>
        </w:rPr>
        <w:t>格式10：中小企业声明函格式</w:t>
      </w:r>
    </w:p>
    <w:p>
      <w:pPr>
        <w:spacing w:line="360" w:lineRule="auto"/>
        <w:jc w:val="center"/>
        <w:rPr>
          <w:rFonts w:ascii="黑体" w:eastAsia="黑体"/>
          <w:sz w:val="36"/>
          <w:szCs w:val="36"/>
        </w:rPr>
      </w:pPr>
      <w:r>
        <w:rPr>
          <w:rFonts w:hint="eastAsia" w:ascii="黑体" w:eastAsia="黑体"/>
          <w:sz w:val="36"/>
          <w:szCs w:val="36"/>
        </w:rPr>
        <w:t>中小企业声明函</w:t>
      </w:r>
    </w:p>
    <w:p>
      <w:pPr>
        <w:spacing w:line="360" w:lineRule="auto"/>
        <w:ind w:firstLine="420"/>
      </w:pPr>
      <w:r>
        <w:rPr>
          <w:rFonts w:hint="eastAsia"/>
        </w:rPr>
        <w:t>本公司郑重声明，根据《政府采购促进中小企业发展暂行办法》（财库[2011]181号）的规定，本公司为______（请填写：中型、小型、微型）企业。即，本公司同时满足以下条件：</w:t>
      </w:r>
    </w:p>
    <w:p>
      <w:pPr>
        <w:spacing w:line="360" w:lineRule="auto"/>
        <w:ind w:firstLine="420"/>
      </w:pPr>
      <w:r>
        <w:rPr>
          <w:rFonts w:hint="eastAsia"/>
        </w:rPr>
        <w:t>1、根据《工业和信息化部、国家统计局、国家发展和改革委员会、财政部关于印发中小企业划型标准规定的通知》（工信部联企业[2011]300号）规定的划分标准，本公司为______（请填写：中型、小型、微型）企业。</w:t>
      </w:r>
    </w:p>
    <w:p>
      <w:pPr>
        <w:spacing w:line="360" w:lineRule="auto"/>
        <w:ind w:firstLine="420"/>
      </w:pPr>
      <w:r>
        <w:rPr>
          <w:rFonts w:hint="eastAsia"/>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firstLine="420"/>
      </w:pPr>
      <w:r>
        <w:rPr>
          <w:rFonts w:hint="eastAsia"/>
        </w:rPr>
        <w:t>本公司对上述声明的真实性负责。如有虚假，将依法承担相应责任。</w:t>
      </w:r>
    </w:p>
    <w:p>
      <w:pPr>
        <w:spacing w:line="360" w:lineRule="auto"/>
      </w:pPr>
    </w:p>
    <w:p>
      <w:pPr>
        <w:spacing w:line="360" w:lineRule="auto"/>
        <w:ind w:firstLine="4620" w:firstLineChars="2200"/>
      </w:pPr>
      <w:r>
        <w:rPr>
          <w:rFonts w:hint="eastAsia"/>
        </w:rPr>
        <w:t>企业名称（盖章）：</w:t>
      </w:r>
    </w:p>
    <w:p>
      <w:pPr>
        <w:spacing w:line="360" w:lineRule="auto"/>
        <w:ind w:firstLine="4620" w:firstLineChars="2200"/>
      </w:pPr>
      <w:r>
        <w:rPr>
          <w:rFonts w:hint="eastAsia"/>
        </w:rPr>
        <w:t>日　　　　　期：          年     月    日</w:t>
      </w: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17"/>
        <w:spacing w:line="600" w:lineRule="exact"/>
        <w:rPr>
          <w:rFonts w:hAnsi="宋体"/>
          <w:u w:val="single"/>
        </w:rPr>
      </w:pPr>
    </w:p>
    <w:p>
      <w:pPr>
        <w:pStyle w:val="26"/>
        <w:jc w:val="left"/>
        <w:rPr>
          <w:rFonts w:ascii="宋体" w:hAnsi="宋体"/>
          <w:sz w:val="21"/>
          <w:szCs w:val="21"/>
        </w:rPr>
      </w:pPr>
      <w:r>
        <w:rPr>
          <w:rFonts w:hint="eastAsia" w:ascii="宋体" w:hAnsi="宋体"/>
          <w:sz w:val="21"/>
          <w:szCs w:val="21"/>
        </w:rPr>
        <w:t>格式11：残疾人福利性单位声明函</w:t>
      </w:r>
    </w:p>
    <w:p>
      <w:pPr>
        <w:pStyle w:val="17"/>
        <w:spacing w:line="600" w:lineRule="exact"/>
        <w:rPr>
          <w:rFonts w:hAnsi="宋体"/>
          <w:u w:val="single"/>
        </w:rPr>
      </w:pPr>
    </w:p>
    <w:p>
      <w:pPr>
        <w:spacing w:line="588" w:lineRule="exact"/>
        <w:jc w:val="center"/>
        <w:rPr>
          <w:rFonts w:ascii="仿宋_GB2312" w:eastAsia="仿宋_GB2312"/>
          <w:b/>
          <w:spacing w:val="6"/>
          <w:sz w:val="32"/>
          <w:szCs w:val="32"/>
        </w:rPr>
      </w:pPr>
      <w:bookmarkStart w:id="10" w:name="OLE_LINK14"/>
      <w:bookmarkStart w:id="11" w:name="OLE_LINK13"/>
      <w:r>
        <w:rPr>
          <w:rFonts w:hint="eastAsia" w:ascii="仿宋_GB2312" w:eastAsia="仿宋_GB2312"/>
          <w:b/>
          <w:spacing w:val="6"/>
          <w:sz w:val="32"/>
          <w:szCs w:val="32"/>
        </w:rPr>
        <w:t>残疾人福利性单位声明函</w:t>
      </w:r>
    </w:p>
    <w:bookmarkEnd w:id="10"/>
    <w:bookmarkEnd w:id="11"/>
    <w:p>
      <w:pPr>
        <w:spacing w:line="588" w:lineRule="exact"/>
        <w:rPr>
          <w:rFonts w:ascii="仿宋_GB2312" w:eastAsia="仿宋_GB2312"/>
          <w:b/>
          <w:spacing w:val="6"/>
          <w:sz w:val="30"/>
          <w:szCs w:val="30"/>
        </w:rPr>
      </w:pP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本单位郑重声明，根据《财政部 民政部 中国残疾人联合会关于促进残疾人就业政府采购政策的通知》（财库</w:t>
      </w:r>
      <w:r>
        <w:rPr>
          <w:rFonts w:hint="eastAsia" w:ascii="仿宋_GB2312" w:eastAsia="仿宋_GB2312"/>
          <w:sz w:val="32"/>
          <w:szCs w:val="32"/>
        </w:rPr>
        <w:t>〔2017〕 141</w:t>
      </w:r>
      <w:r>
        <w:rPr>
          <w:rFonts w:hint="eastAsia" w:ascii="仿宋_GB2312"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spacing w:val="6"/>
          <w:sz w:val="30"/>
          <w:szCs w:val="30"/>
        </w:rPr>
      </w:pPr>
      <w:r>
        <w:rPr>
          <w:rFonts w:hint="eastAsia" w:ascii="仿宋_GB2312" w:eastAsia="仿宋_GB2312"/>
          <w:spacing w:val="6"/>
          <w:sz w:val="30"/>
          <w:szCs w:val="30"/>
        </w:rPr>
        <w:t>本单位对上述声明的真实性负责。如有虚假，将依法承担相应责任。</w:t>
      </w:r>
    </w:p>
    <w:p>
      <w:pPr>
        <w:spacing w:line="588" w:lineRule="exact"/>
        <w:ind w:firstLine="624" w:firstLineChars="200"/>
        <w:rPr>
          <w:rFonts w:ascii="仿宋_GB2312" w:eastAsia="仿宋_GB2312"/>
          <w:spacing w:val="6"/>
          <w:sz w:val="30"/>
          <w:szCs w:val="30"/>
        </w:rPr>
      </w:pPr>
    </w:p>
    <w:p>
      <w:pPr>
        <w:spacing w:line="588" w:lineRule="exact"/>
        <w:ind w:firstLine="624" w:firstLineChars="200"/>
        <w:rPr>
          <w:rFonts w:ascii="仿宋_GB2312" w:eastAsia="仿宋_GB2312"/>
          <w:spacing w:val="6"/>
          <w:sz w:val="30"/>
          <w:szCs w:val="30"/>
        </w:rPr>
      </w:pP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单位名称（盖章）：</w:t>
      </w:r>
    </w:p>
    <w:p>
      <w:pPr>
        <w:tabs>
          <w:tab w:val="left" w:pos="4860"/>
        </w:tabs>
        <w:spacing w:line="588" w:lineRule="exact"/>
        <w:ind w:right="1560"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日  期：</w:t>
      </w:r>
    </w:p>
    <w:p>
      <w:pPr>
        <w:pStyle w:val="17"/>
        <w:spacing w:line="600" w:lineRule="exact"/>
        <w:rPr>
          <w:rFonts w:hAnsi="宋体"/>
        </w:rPr>
      </w:pPr>
    </w:p>
    <w:p>
      <w:pPr>
        <w:pStyle w:val="17"/>
        <w:spacing w:line="600" w:lineRule="exact"/>
        <w:rPr>
          <w:rFonts w:hAnsi="宋体"/>
        </w:rPr>
      </w:pPr>
    </w:p>
    <w:p>
      <w:pPr>
        <w:pStyle w:val="17"/>
        <w:jc w:val="center"/>
        <w:outlineLvl w:val="0"/>
        <w:rPr>
          <w:rFonts w:hAnsi="宋体"/>
          <w:sz w:val="28"/>
          <w:szCs w:val="24"/>
        </w:rPr>
      </w:pPr>
      <w:bookmarkStart w:id="12" w:name="_Toc139967215"/>
      <w:bookmarkStart w:id="13" w:name="_Toc139966431"/>
    </w:p>
    <w:p>
      <w:pPr>
        <w:pStyle w:val="17"/>
        <w:jc w:val="center"/>
        <w:outlineLvl w:val="0"/>
        <w:rPr>
          <w:rFonts w:hAnsi="宋体"/>
          <w:sz w:val="28"/>
          <w:szCs w:val="24"/>
        </w:rPr>
      </w:pPr>
    </w:p>
    <w:p>
      <w:pPr>
        <w:pStyle w:val="17"/>
        <w:jc w:val="center"/>
        <w:outlineLvl w:val="0"/>
        <w:rPr>
          <w:rFonts w:hAnsi="宋体"/>
          <w:sz w:val="28"/>
          <w:szCs w:val="24"/>
        </w:rPr>
      </w:pPr>
    </w:p>
    <w:p>
      <w:pPr>
        <w:pStyle w:val="17"/>
        <w:jc w:val="center"/>
        <w:outlineLvl w:val="0"/>
        <w:rPr>
          <w:rFonts w:hAnsi="宋体"/>
          <w:sz w:val="28"/>
          <w:szCs w:val="24"/>
        </w:rPr>
      </w:pPr>
    </w:p>
    <w:p>
      <w:pPr>
        <w:pStyle w:val="17"/>
        <w:jc w:val="center"/>
        <w:outlineLvl w:val="0"/>
        <w:rPr>
          <w:rFonts w:hAnsi="宋体"/>
          <w:sz w:val="28"/>
          <w:szCs w:val="24"/>
        </w:rPr>
      </w:pPr>
    </w:p>
    <w:p>
      <w:pPr>
        <w:pStyle w:val="17"/>
        <w:outlineLvl w:val="0"/>
        <w:rPr>
          <w:rFonts w:hAnsi="宋体"/>
          <w:sz w:val="28"/>
          <w:szCs w:val="24"/>
        </w:rPr>
      </w:pPr>
    </w:p>
    <w:p>
      <w:pPr>
        <w:pStyle w:val="17"/>
        <w:outlineLvl w:val="0"/>
        <w:rPr>
          <w:rFonts w:hAnsi="宋体"/>
          <w:sz w:val="28"/>
          <w:szCs w:val="24"/>
        </w:rPr>
      </w:pPr>
    </w:p>
    <w:p>
      <w:pPr>
        <w:pStyle w:val="26"/>
        <w:jc w:val="left"/>
        <w:rPr>
          <w:rFonts w:ascii="宋体" w:hAnsi="宋体"/>
          <w:color w:val="000000"/>
          <w:sz w:val="21"/>
          <w:szCs w:val="21"/>
        </w:rPr>
      </w:pPr>
      <w:r>
        <w:rPr>
          <w:rFonts w:hint="eastAsia" w:ascii="宋体" w:hAnsi="宋体"/>
          <w:color w:val="000000"/>
          <w:sz w:val="21"/>
          <w:szCs w:val="21"/>
        </w:rPr>
        <w:t>格式12：监狱企业声明函及其证明文件</w:t>
      </w:r>
    </w:p>
    <w:p>
      <w:pPr>
        <w:pStyle w:val="17"/>
        <w:spacing w:line="600" w:lineRule="exact"/>
        <w:rPr>
          <w:rFonts w:hAnsi="宋体"/>
          <w:color w:val="000000"/>
          <w:u w:val="single"/>
        </w:rPr>
      </w:pPr>
    </w:p>
    <w:p>
      <w:pPr>
        <w:spacing w:line="588" w:lineRule="exact"/>
        <w:ind w:firstLine="3744" w:firstLineChars="1200"/>
        <w:rPr>
          <w:rFonts w:ascii="仿宋_GB2312" w:eastAsia="仿宋_GB2312"/>
          <w:color w:val="000000"/>
          <w:spacing w:val="6"/>
          <w:sz w:val="30"/>
          <w:szCs w:val="30"/>
        </w:rPr>
      </w:pPr>
      <w:r>
        <w:rPr>
          <w:rFonts w:hint="eastAsia" w:ascii="仿宋_GB2312" w:eastAsia="仿宋_GB2312"/>
          <w:color w:val="000000"/>
          <w:spacing w:val="6"/>
          <w:sz w:val="30"/>
          <w:szCs w:val="30"/>
        </w:rPr>
        <w:t>监狱企业声明函</w:t>
      </w:r>
    </w:p>
    <w:p>
      <w:pPr>
        <w:spacing w:line="588" w:lineRule="exact"/>
        <w:ind w:firstLine="624" w:firstLineChars="200"/>
        <w:rPr>
          <w:rFonts w:ascii="仿宋_GB2312" w:eastAsia="仿宋_GB2312"/>
          <w:color w:val="000000"/>
          <w:spacing w:val="6"/>
          <w:sz w:val="30"/>
          <w:szCs w:val="30"/>
        </w:rPr>
      </w:pPr>
      <w:r>
        <w:rPr>
          <w:rFonts w:hint="eastAsia" w:ascii="仿宋_GB2312" w:eastAsia="仿宋_GB2312"/>
          <w:color w:val="000000"/>
          <w:spacing w:val="6"/>
          <w:sz w:val="30"/>
          <w:szCs w:val="30"/>
        </w:rPr>
        <w:t>本企业郑重声明，根据《关于政府采购支持监狱企业发展有关问题的通知》 （财库[2014]68 号）的规定，本公司为监狱企业。</w:t>
      </w:r>
    </w:p>
    <w:p>
      <w:pPr>
        <w:spacing w:line="588" w:lineRule="exact"/>
        <w:ind w:firstLine="624" w:firstLineChars="200"/>
        <w:rPr>
          <w:rFonts w:ascii="仿宋_GB2312" w:eastAsia="仿宋_GB2312"/>
          <w:color w:val="000000"/>
          <w:spacing w:val="6"/>
          <w:sz w:val="30"/>
          <w:szCs w:val="30"/>
          <w:u w:val="single"/>
        </w:rPr>
      </w:pPr>
      <w:r>
        <w:rPr>
          <w:rFonts w:hint="eastAsia" w:ascii="仿宋_GB2312" w:eastAsia="仿宋_GB2312"/>
          <w:color w:val="000000"/>
          <w:spacing w:val="6"/>
          <w:sz w:val="30"/>
          <w:szCs w:val="30"/>
        </w:rPr>
        <w:t>根据上述标准，我公司属于监狱企业的理由为</w:t>
      </w:r>
      <w:r>
        <w:rPr>
          <w:rFonts w:hint="eastAsia" w:ascii="仿宋_GB2312" w:eastAsia="仿宋_GB2312"/>
          <w:color w:val="000000"/>
          <w:spacing w:val="6"/>
          <w:sz w:val="30"/>
          <w:szCs w:val="30"/>
          <w:u w:val="single"/>
        </w:rPr>
        <w:t xml:space="preserve">：              </w:t>
      </w:r>
    </w:p>
    <w:p>
      <w:pPr>
        <w:spacing w:line="588" w:lineRule="exact"/>
        <w:ind w:firstLine="624" w:firstLineChars="200"/>
        <w:rPr>
          <w:rFonts w:ascii="仿宋_GB2312" w:eastAsia="仿宋_GB2312"/>
          <w:color w:val="000000"/>
          <w:spacing w:val="6"/>
          <w:sz w:val="30"/>
          <w:szCs w:val="30"/>
        </w:rPr>
      </w:pPr>
      <w:r>
        <w:rPr>
          <w:rFonts w:hint="eastAsia" w:ascii="仿宋_GB2312" w:eastAsia="仿宋_GB2312"/>
          <w:color w:val="000000"/>
          <w:spacing w:val="6"/>
          <w:sz w:val="30"/>
          <w:szCs w:val="30"/>
          <w:u w:val="single"/>
        </w:rPr>
        <w:t xml:space="preserve">                                                    </w:t>
      </w:r>
      <w:r>
        <w:rPr>
          <w:rFonts w:hint="eastAsia" w:ascii="仿宋_GB2312" w:eastAsia="仿宋_GB2312"/>
          <w:color w:val="000000"/>
          <w:spacing w:val="6"/>
          <w:sz w:val="30"/>
          <w:szCs w:val="30"/>
        </w:rPr>
        <w:t>。</w:t>
      </w:r>
    </w:p>
    <w:p>
      <w:pPr>
        <w:spacing w:line="588" w:lineRule="exact"/>
        <w:ind w:firstLine="624" w:firstLineChars="200"/>
        <w:rPr>
          <w:rFonts w:ascii="仿宋_GB2312" w:eastAsia="仿宋_GB2312"/>
          <w:color w:val="000000"/>
          <w:spacing w:val="6"/>
          <w:sz w:val="30"/>
          <w:szCs w:val="30"/>
        </w:rPr>
      </w:pPr>
      <w:r>
        <w:rPr>
          <w:rFonts w:hint="eastAsia" w:ascii="仿宋_GB2312" w:eastAsia="仿宋_GB2312"/>
          <w:color w:val="000000"/>
          <w:spacing w:val="6"/>
          <w:sz w:val="30"/>
          <w:szCs w:val="30"/>
        </w:rPr>
        <w:t>本企业参加（项目名称：    ）（项目编号：      ）采购活动提供本企业制造的货物（由本企业承担工程/提供服务），或者提供其他监狱企业制造的货物（不包括使用非监狱企业注册商标的货物）。</w:t>
      </w:r>
    </w:p>
    <w:p>
      <w:pPr>
        <w:spacing w:line="588" w:lineRule="exact"/>
        <w:ind w:firstLine="624" w:firstLineChars="200"/>
        <w:rPr>
          <w:rFonts w:ascii="仿宋_GB2312" w:eastAsia="仿宋_GB2312"/>
          <w:color w:val="000000"/>
          <w:spacing w:val="6"/>
          <w:sz w:val="30"/>
          <w:szCs w:val="30"/>
        </w:rPr>
      </w:pPr>
      <w:r>
        <w:rPr>
          <w:rFonts w:hint="eastAsia" w:ascii="仿宋_GB2312" w:eastAsia="仿宋_GB2312"/>
          <w:color w:val="000000"/>
          <w:spacing w:val="6"/>
          <w:sz w:val="30"/>
          <w:szCs w:val="30"/>
        </w:rPr>
        <w:t>本公司对上述声明的真实性负责。如有虚假，将依法承担相应责任。</w:t>
      </w:r>
    </w:p>
    <w:p>
      <w:pPr>
        <w:spacing w:line="588" w:lineRule="exact"/>
        <w:ind w:firstLine="624" w:firstLineChars="200"/>
        <w:rPr>
          <w:rFonts w:ascii="仿宋_GB2312" w:eastAsia="仿宋_GB2312"/>
          <w:color w:val="000000"/>
          <w:spacing w:val="6"/>
          <w:sz w:val="30"/>
          <w:szCs w:val="30"/>
        </w:rPr>
      </w:pPr>
    </w:p>
    <w:p>
      <w:pPr>
        <w:spacing w:line="588" w:lineRule="exact"/>
        <w:ind w:firstLine="624" w:firstLineChars="200"/>
        <w:rPr>
          <w:rFonts w:ascii="仿宋_GB2312" w:eastAsia="仿宋_GB2312"/>
          <w:color w:val="000000"/>
          <w:spacing w:val="6"/>
          <w:sz w:val="30"/>
          <w:szCs w:val="30"/>
        </w:rPr>
      </w:pPr>
      <w:r>
        <w:rPr>
          <w:rFonts w:hint="eastAsia" w:ascii="仿宋_GB2312" w:eastAsia="仿宋_GB2312"/>
          <w:color w:val="000000"/>
          <w:spacing w:val="6"/>
          <w:sz w:val="30"/>
          <w:szCs w:val="30"/>
        </w:rPr>
        <w:t>投标人名称（盖章）：</w:t>
      </w:r>
    </w:p>
    <w:p>
      <w:pPr>
        <w:spacing w:line="588" w:lineRule="exact"/>
        <w:ind w:firstLine="624" w:firstLineChars="200"/>
        <w:rPr>
          <w:rFonts w:ascii="仿宋_GB2312" w:eastAsia="仿宋_GB2312"/>
          <w:color w:val="000000"/>
          <w:spacing w:val="6"/>
          <w:sz w:val="30"/>
          <w:szCs w:val="30"/>
        </w:rPr>
      </w:pPr>
      <w:r>
        <w:rPr>
          <w:rFonts w:hint="eastAsia" w:ascii="仿宋_GB2312" w:eastAsia="仿宋_GB2312"/>
          <w:color w:val="000000"/>
          <w:spacing w:val="6"/>
          <w:sz w:val="30"/>
          <w:szCs w:val="30"/>
        </w:rPr>
        <w:t>日期： 年  月  日</w:t>
      </w:r>
    </w:p>
    <w:p>
      <w:pPr>
        <w:spacing w:line="588" w:lineRule="exact"/>
        <w:ind w:firstLine="624" w:firstLineChars="200"/>
        <w:rPr>
          <w:rFonts w:ascii="仿宋_GB2312" w:eastAsia="仿宋_GB2312"/>
          <w:color w:val="000000"/>
          <w:spacing w:val="6"/>
          <w:sz w:val="30"/>
          <w:szCs w:val="30"/>
        </w:rPr>
      </w:pPr>
    </w:p>
    <w:p>
      <w:pPr>
        <w:spacing w:line="588" w:lineRule="exact"/>
        <w:ind w:firstLine="624" w:firstLineChars="200"/>
        <w:rPr>
          <w:rFonts w:ascii="仿宋_GB2312" w:eastAsia="仿宋_GB2312"/>
          <w:color w:val="000000"/>
          <w:spacing w:val="6"/>
          <w:sz w:val="30"/>
          <w:szCs w:val="30"/>
        </w:rPr>
      </w:pPr>
    </w:p>
    <w:p>
      <w:pPr>
        <w:spacing w:line="588" w:lineRule="exact"/>
        <w:ind w:firstLine="624" w:firstLineChars="200"/>
        <w:rPr>
          <w:rFonts w:ascii="仿宋_GB2312" w:eastAsia="仿宋_GB2312"/>
          <w:color w:val="000000"/>
          <w:spacing w:val="6"/>
          <w:sz w:val="30"/>
          <w:szCs w:val="30"/>
        </w:rPr>
      </w:pPr>
    </w:p>
    <w:p>
      <w:pPr>
        <w:spacing w:line="588" w:lineRule="exact"/>
        <w:ind w:firstLine="624" w:firstLineChars="200"/>
        <w:rPr>
          <w:rFonts w:ascii="仿宋_GB2312" w:eastAsia="仿宋_GB2312"/>
          <w:color w:val="000000"/>
          <w:spacing w:val="6"/>
          <w:sz w:val="30"/>
          <w:szCs w:val="30"/>
        </w:rPr>
      </w:pPr>
      <w:r>
        <w:rPr>
          <w:rFonts w:hint="eastAsia" w:ascii="仿宋_GB2312" w:eastAsia="仿宋_GB2312"/>
          <w:color w:val="000000"/>
          <w:spacing w:val="6"/>
          <w:sz w:val="30"/>
          <w:szCs w:val="30"/>
        </w:rPr>
        <w:t>备注：在监狱企业声明函后另附省级以上监狱管理局、戒毒管理局（含新疆生产建设兵团）出具的属于监狱企业的证明文件。</w:t>
      </w:r>
    </w:p>
    <w:p>
      <w:pPr>
        <w:spacing w:line="588" w:lineRule="exact"/>
        <w:ind w:firstLine="2496" w:firstLineChars="800"/>
        <w:rPr>
          <w:rFonts w:ascii="仿宋_GB2312" w:eastAsia="仿宋_GB2312"/>
          <w:spacing w:val="6"/>
          <w:sz w:val="30"/>
          <w:szCs w:val="30"/>
        </w:rPr>
      </w:pPr>
      <w:r>
        <w:rPr>
          <w:rFonts w:hint="eastAsia" w:ascii="仿宋_GB2312" w:eastAsia="仿宋_GB2312"/>
          <w:spacing w:val="6"/>
          <w:sz w:val="30"/>
          <w:szCs w:val="30"/>
        </w:rPr>
        <w:t>两者缺一不可，否则评标时不予认可。</w:t>
      </w: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pStyle w:val="26"/>
        <w:jc w:val="left"/>
        <w:rPr>
          <w:rFonts w:ascii="宋体" w:hAnsi="宋体"/>
          <w:color w:val="FF0000"/>
          <w:sz w:val="21"/>
          <w:szCs w:val="21"/>
        </w:rPr>
      </w:pPr>
      <w:r>
        <w:rPr>
          <w:rFonts w:hint="eastAsia" w:ascii="宋体" w:hAnsi="宋体"/>
          <w:color w:val="FF0000"/>
          <w:sz w:val="21"/>
          <w:szCs w:val="21"/>
        </w:rPr>
        <w:t>格式13：法人企业授权书</w:t>
      </w:r>
    </w:p>
    <w:p>
      <w:pPr>
        <w:spacing w:line="588" w:lineRule="exact"/>
        <w:ind w:firstLine="643" w:firstLineChars="200"/>
        <w:jc w:val="center"/>
        <w:rPr>
          <w:rFonts w:ascii="仿宋_GB2312" w:eastAsia="仿宋_GB2312"/>
          <w:spacing w:val="6"/>
          <w:sz w:val="32"/>
          <w:szCs w:val="32"/>
        </w:rPr>
      </w:pPr>
      <w:r>
        <w:rPr>
          <w:rFonts w:hint="eastAsia"/>
          <w:b/>
          <w:color w:val="FF0000"/>
          <w:sz w:val="32"/>
          <w:szCs w:val="32"/>
        </w:rPr>
        <w:t>法人企业授权书</w:t>
      </w:r>
    </w:p>
    <w:p>
      <w:pPr>
        <w:spacing w:line="588" w:lineRule="exact"/>
        <w:ind w:firstLine="624" w:firstLineChars="200"/>
        <w:jc w:val="center"/>
        <w:rPr>
          <w:rFonts w:ascii="仿宋_GB2312" w:eastAsia="仿宋_GB2312"/>
          <w:spacing w:val="6"/>
          <w:sz w:val="30"/>
          <w:szCs w:val="30"/>
        </w:rPr>
      </w:pPr>
      <w:r>
        <w:rPr>
          <w:rFonts w:ascii="仿宋_GB2312" w:eastAsia="仿宋_GB2312"/>
          <w:spacing w:val="6"/>
          <w:sz w:val="30"/>
          <w:szCs w:val="30"/>
        </w:rPr>
        <w:t>（格式自拟）</w:t>
      </w: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left="420" w:leftChars="200"/>
        <w:jc w:val="left"/>
        <w:rPr>
          <w:rFonts w:ascii="仿宋_GB2312" w:eastAsia="仿宋_GB2312"/>
          <w:spacing w:val="6"/>
          <w:sz w:val="30"/>
          <w:szCs w:val="30"/>
        </w:rPr>
      </w:pPr>
      <w:r>
        <w:rPr>
          <w:rFonts w:hint="eastAsia" w:ascii="仿宋_GB2312" w:eastAsia="仿宋_GB2312"/>
          <w:spacing w:val="6"/>
          <w:sz w:val="30"/>
          <w:szCs w:val="30"/>
        </w:rPr>
        <w:t>我公司授权</w:t>
      </w:r>
      <w:r>
        <w:rPr>
          <w:rFonts w:hint="eastAsia" w:ascii="仿宋_GB2312" w:eastAsia="仿宋_GB2312"/>
          <w:spacing w:val="6"/>
          <w:sz w:val="30"/>
          <w:szCs w:val="30"/>
          <w:u w:val="single"/>
        </w:rPr>
        <w:t xml:space="preserve">          </w:t>
      </w:r>
      <w:r>
        <w:rPr>
          <w:rFonts w:hint="eastAsia" w:ascii="仿宋_GB2312" w:eastAsia="仿宋_GB2312"/>
          <w:spacing w:val="6"/>
          <w:sz w:val="30"/>
          <w:szCs w:val="30"/>
        </w:rPr>
        <w:t>分公司参加</w:t>
      </w:r>
      <w:r>
        <w:rPr>
          <w:rFonts w:hint="eastAsia" w:ascii="仿宋_GB2312" w:eastAsia="仿宋_GB2312"/>
          <w:spacing w:val="6"/>
          <w:sz w:val="30"/>
          <w:szCs w:val="30"/>
          <w:u w:val="single"/>
        </w:rPr>
        <w:t xml:space="preserve">         </w:t>
      </w:r>
      <w:r>
        <w:rPr>
          <w:rFonts w:hint="eastAsia" w:ascii="仿宋_GB2312" w:eastAsia="仿宋_GB2312"/>
          <w:spacing w:val="6"/>
          <w:sz w:val="30"/>
          <w:szCs w:val="30"/>
        </w:rPr>
        <w:t>项目的投标，并愿意为其承担由此发生的一切法律责任。</w:t>
      </w: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r>
        <w:rPr>
          <w:rFonts w:hint="eastAsia" w:ascii="仿宋_GB2312" w:eastAsia="仿宋_GB2312"/>
          <w:spacing w:val="6"/>
          <w:sz w:val="30"/>
          <w:szCs w:val="30"/>
        </w:rPr>
        <w:t xml:space="preserve">               公司名称：（加盖公章）</w:t>
      </w:r>
    </w:p>
    <w:p>
      <w:pPr>
        <w:spacing w:line="588" w:lineRule="exact"/>
        <w:ind w:firstLine="624" w:firstLineChars="200"/>
        <w:jc w:val="center"/>
        <w:rPr>
          <w:rFonts w:ascii="仿宋_GB2312" w:eastAsia="仿宋_GB2312"/>
          <w:spacing w:val="6"/>
          <w:sz w:val="30"/>
          <w:szCs w:val="30"/>
        </w:rPr>
      </w:pPr>
      <w:r>
        <w:rPr>
          <w:rFonts w:hint="eastAsia" w:ascii="仿宋_GB2312" w:eastAsia="仿宋_GB2312"/>
          <w:spacing w:val="6"/>
          <w:sz w:val="30"/>
          <w:szCs w:val="30"/>
        </w:rPr>
        <w:t>日期：</w:t>
      </w:r>
    </w:p>
    <w:p>
      <w:pPr>
        <w:spacing w:line="588" w:lineRule="exact"/>
        <w:ind w:firstLine="624" w:firstLineChars="200"/>
        <w:jc w:val="center"/>
        <w:rPr>
          <w:rFonts w:ascii="仿宋_GB2312" w:eastAsia="仿宋_GB2312"/>
          <w:spacing w:val="6"/>
          <w:sz w:val="30"/>
          <w:szCs w:val="30"/>
        </w:rPr>
      </w:pPr>
    </w:p>
    <w:p>
      <w:pPr>
        <w:spacing w:line="588" w:lineRule="exact"/>
        <w:ind w:firstLine="624" w:firstLineChars="200"/>
        <w:jc w:val="center"/>
        <w:rPr>
          <w:rFonts w:ascii="仿宋_GB2312" w:eastAsia="仿宋_GB2312"/>
          <w:spacing w:val="6"/>
          <w:sz w:val="30"/>
          <w:szCs w:val="30"/>
        </w:rPr>
      </w:pPr>
      <w:r>
        <w:rPr>
          <w:rFonts w:hint="eastAsia" w:ascii="仿宋_GB2312" w:eastAsia="仿宋_GB2312"/>
          <w:color w:val="FF0000"/>
          <w:spacing w:val="6"/>
          <w:sz w:val="30"/>
          <w:szCs w:val="30"/>
        </w:rPr>
        <w:t>备注：授权书应明确分公司在政府采购活动中所能代表总公司行使的权利、义务、相关资质的使用及该项目主要实施主体等。</w:t>
      </w:r>
      <w:r>
        <w:rPr>
          <w:rFonts w:ascii="仿宋_GB2312" w:eastAsia="仿宋_GB2312"/>
          <w:spacing w:val="6"/>
          <w:sz w:val="30"/>
          <w:szCs w:val="30"/>
        </w:rPr>
        <w:br w:type="page"/>
      </w:r>
      <w:bookmarkStart w:id="14" w:name="_Toc494123935"/>
      <w:r>
        <w:rPr>
          <w:rFonts w:hint="eastAsia" w:hAnsi="宋体"/>
          <w:b/>
          <w:sz w:val="36"/>
        </w:rPr>
        <w:t>第五章  合同专用条款表</w:t>
      </w:r>
      <w:bookmarkEnd w:id="14"/>
    </w:p>
    <w:p>
      <w:pPr>
        <w:pStyle w:val="17"/>
        <w:rPr>
          <w:rFonts w:hAnsi="宋体"/>
        </w:rPr>
      </w:pPr>
      <w:r>
        <w:rPr>
          <w:rFonts w:hint="eastAsia" w:hAnsi="宋体"/>
        </w:rPr>
        <w:t>本表是对第三章“政府采购合同格式”的具体补充和修改。如果两者之间有抵触，应以本资料表为准。</w:t>
      </w:r>
    </w:p>
    <w:p>
      <w:pPr>
        <w:pStyle w:val="17"/>
        <w:rPr>
          <w:rFonts w:hAnsi="宋体"/>
        </w:rPr>
      </w:pPr>
    </w:p>
    <w:tbl>
      <w:tblPr>
        <w:tblStyle w:val="41"/>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8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trPr>
        <w:tc>
          <w:tcPr>
            <w:tcW w:w="896" w:type="dxa"/>
            <w:vAlign w:val="center"/>
          </w:tcPr>
          <w:p>
            <w:pPr>
              <w:pStyle w:val="17"/>
              <w:spacing w:line="320" w:lineRule="exact"/>
              <w:jc w:val="center"/>
              <w:rPr>
                <w:rFonts w:hAnsi="宋体"/>
              </w:rPr>
            </w:pPr>
            <w:r>
              <w:rPr>
                <w:rFonts w:hint="eastAsia" w:hAnsi="宋体"/>
              </w:rPr>
              <w:t>条款号</w:t>
            </w:r>
          </w:p>
        </w:tc>
        <w:tc>
          <w:tcPr>
            <w:tcW w:w="8644" w:type="dxa"/>
            <w:vAlign w:val="center"/>
          </w:tcPr>
          <w:p>
            <w:pPr>
              <w:pStyle w:val="17"/>
              <w:spacing w:line="320" w:lineRule="exact"/>
              <w:rPr>
                <w:rFonts w:hAnsi="宋体"/>
              </w:rPr>
            </w:pPr>
            <w:r>
              <w:rPr>
                <w:rFonts w:hint="eastAsia" w:hAnsi="宋体"/>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96" w:type="dxa"/>
            <w:vAlign w:val="center"/>
          </w:tcPr>
          <w:p>
            <w:pPr>
              <w:pStyle w:val="17"/>
              <w:spacing w:line="320" w:lineRule="exact"/>
              <w:jc w:val="center"/>
              <w:rPr>
                <w:rFonts w:hAnsi="宋体"/>
              </w:rPr>
            </w:pPr>
            <w:r>
              <w:rPr>
                <w:rFonts w:hint="eastAsia" w:hAnsi="宋体"/>
              </w:rPr>
              <w:t>7</w:t>
            </w:r>
          </w:p>
        </w:tc>
        <w:tc>
          <w:tcPr>
            <w:tcW w:w="8644" w:type="dxa"/>
            <w:vAlign w:val="center"/>
          </w:tcPr>
          <w:p>
            <w:pPr>
              <w:pStyle w:val="17"/>
              <w:spacing w:line="320" w:lineRule="exact"/>
              <w:rPr>
                <w:rFonts w:hAnsi="宋体"/>
              </w:rPr>
            </w:pPr>
            <w:r>
              <w:rPr>
                <w:rFonts w:hint="eastAsia" w:hAnsi="宋体"/>
                <w:b/>
                <w:bCs/>
              </w:rPr>
              <w:t>★</w:t>
            </w:r>
            <w:r>
              <w:rPr>
                <w:rFonts w:hint="eastAsia" w:hAnsi="宋体"/>
              </w:rPr>
              <w:t>免费质保期：【壹】年。免费质保期间，中标人免费包维修、保养、安检、调换等；对于采购方人为原因造成的故障，中标人只收取维保成本费用。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896" w:type="dxa"/>
            <w:vAlign w:val="center"/>
          </w:tcPr>
          <w:p>
            <w:pPr>
              <w:pStyle w:val="17"/>
              <w:spacing w:line="320" w:lineRule="exact"/>
              <w:jc w:val="center"/>
              <w:rPr>
                <w:rFonts w:hAnsi="宋体"/>
              </w:rPr>
            </w:pPr>
            <w:r>
              <w:rPr>
                <w:rFonts w:hint="eastAsia" w:hAnsi="宋体"/>
              </w:rPr>
              <w:t>8</w:t>
            </w:r>
          </w:p>
        </w:tc>
        <w:tc>
          <w:tcPr>
            <w:tcW w:w="8644" w:type="dxa"/>
            <w:vAlign w:val="center"/>
          </w:tcPr>
          <w:p>
            <w:pPr>
              <w:pStyle w:val="17"/>
              <w:spacing w:line="320" w:lineRule="exact"/>
              <w:rPr>
                <w:rFonts w:hAnsi="宋体"/>
              </w:rPr>
            </w:pPr>
            <w:r>
              <w:rPr>
                <w:rFonts w:hint="eastAsia" w:hAnsi="宋体"/>
                <w:b/>
                <w:bCs/>
              </w:rPr>
              <w:t>★</w:t>
            </w:r>
            <w:r>
              <w:rPr>
                <w:rFonts w:hint="eastAsia" w:hAnsi="宋体"/>
              </w:rPr>
              <w:t>1. 交货期：</w:t>
            </w:r>
            <w:r>
              <w:rPr>
                <w:rFonts w:hint="eastAsia" w:hAnsi="宋体"/>
                <w:bCs/>
              </w:rPr>
              <w:t>合同签订后【50】天内</w:t>
            </w:r>
            <w:r>
              <w:rPr>
                <w:rFonts w:hint="eastAsia" w:hAnsi="宋体"/>
              </w:rPr>
              <w:t xml:space="preserve">完成安装调试，达到预期效果。 </w:t>
            </w:r>
          </w:p>
          <w:p>
            <w:pPr>
              <w:pStyle w:val="17"/>
              <w:spacing w:line="320" w:lineRule="exact"/>
              <w:rPr>
                <w:rFonts w:hAnsi="宋体"/>
              </w:rPr>
            </w:pPr>
            <w:r>
              <w:rPr>
                <w:rFonts w:hint="eastAsia" w:hAnsi="宋体"/>
                <w:b/>
                <w:bCs/>
              </w:rPr>
              <w:t>★</w:t>
            </w:r>
            <w:r>
              <w:rPr>
                <w:rFonts w:hint="eastAsia" w:hAnsi="宋体"/>
              </w:rPr>
              <w:t>2. 交货方式：现场验收。</w:t>
            </w:r>
          </w:p>
          <w:p>
            <w:pPr>
              <w:pStyle w:val="17"/>
              <w:spacing w:line="320" w:lineRule="exact"/>
              <w:rPr>
                <w:rFonts w:hAnsi="宋体"/>
              </w:rPr>
            </w:pPr>
            <w:r>
              <w:rPr>
                <w:rFonts w:hint="eastAsia" w:hAnsi="宋体"/>
                <w:b/>
                <w:bCs/>
              </w:rPr>
              <w:t>★</w:t>
            </w:r>
            <w:r>
              <w:rPr>
                <w:rFonts w:hint="eastAsia" w:hAnsi="宋体"/>
              </w:rPr>
              <w:t>3. 交货地点：采购人指定。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896" w:type="dxa"/>
            <w:vAlign w:val="center"/>
          </w:tcPr>
          <w:p>
            <w:pPr>
              <w:pStyle w:val="17"/>
              <w:spacing w:line="320" w:lineRule="exact"/>
              <w:jc w:val="center"/>
              <w:rPr>
                <w:rFonts w:hAnsi="宋体"/>
              </w:rPr>
            </w:pPr>
            <w:r>
              <w:rPr>
                <w:rFonts w:hint="eastAsia" w:hAnsi="宋体"/>
              </w:rPr>
              <w:t>9.1</w:t>
            </w:r>
          </w:p>
        </w:tc>
        <w:tc>
          <w:tcPr>
            <w:tcW w:w="8644" w:type="dxa"/>
            <w:vAlign w:val="center"/>
          </w:tcPr>
          <w:p>
            <w:pPr>
              <w:pStyle w:val="17"/>
              <w:spacing w:line="320" w:lineRule="exact"/>
              <w:rPr>
                <w:rFonts w:hAnsi="宋体"/>
              </w:rPr>
            </w:pPr>
            <w:r>
              <w:rPr>
                <w:rFonts w:hint="eastAsia" w:hAnsi="宋体"/>
                <w:b/>
                <w:bCs/>
              </w:rPr>
              <w:t>★</w:t>
            </w:r>
            <w:r>
              <w:rPr>
                <w:rFonts w:hint="eastAsia" w:hAnsi="宋体"/>
              </w:rPr>
              <w:t>付款方式：合同签订后，到货付合同总金额的30％；建成试运行、验收合格后，再付合同总金额的65％；留合同总金额的5%为质保金，质保期满后，无质量、服务等问题，余款一次性付清。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896" w:type="dxa"/>
            <w:vAlign w:val="center"/>
          </w:tcPr>
          <w:p>
            <w:pPr>
              <w:pStyle w:val="17"/>
              <w:spacing w:line="320" w:lineRule="exact"/>
              <w:jc w:val="center"/>
              <w:rPr>
                <w:rFonts w:hAnsi="宋体"/>
              </w:rPr>
            </w:pPr>
            <w:r>
              <w:rPr>
                <w:rFonts w:hint="eastAsia" w:hAnsi="宋体"/>
              </w:rPr>
              <w:t>10.3</w:t>
            </w:r>
          </w:p>
        </w:tc>
        <w:tc>
          <w:tcPr>
            <w:tcW w:w="8644" w:type="dxa"/>
            <w:vAlign w:val="center"/>
          </w:tcPr>
          <w:p>
            <w:pPr>
              <w:pStyle w:val="17"/>
              <w:spacing w:line="320" w:lineRule="exact"/>
              <w:rPr>
                <w:rFonts w:hAnsi="宋体"/>
                <w:szCs w:val="21"/>
              </w:rPr>
            </w:pPr>
            <w:r>
              <w:rPr>
                <w:rFonts w:hint="eastAsia" w:hAnsi="宋体"/>
                <w:szCs w:val="21"/>
              </w:rPr>
              <w:t>测试要求：依据技术要求中的条款进行验收测试。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896" w:type="dxa"/>
            <w:tcBorders>
              <w:bottom w:val="single" w:color="auto" w:sz="4" w:space="0"/>
            </w:tcBorders>
            <w:vAlign w:val="center"/>
          </w:tcPr>
          <w:p>
            <w:pPr>
              <w:pStyle w:val="17"/>
              <w:spacing w:line="320" w:lineRule="exact"/>
              <w:jc w:val="center"/>
              <w:rPr>
                <w:rFonts w:hAnsi="宋体"/>
              </w:rPr>
            </w:pPr>
            <w:r>
              <w:rPr>
                <w:rFonts w:hint="eastAsia" w:hAnsi="宋体"/>
              </w:rPr>
              <w:t>13</w:t>
            </w:r>
          </w:p>
        </w:tc>
        <w:tc>
          <w:tcPr>
            <w:tcW w:w="8644" w:type="dxa"/>
            <w:tcBorders>
              <w:bottom w:val="single" w:color="auto" w:sz="4" w:space="0"/>
            </w:tcBorders>
            <w:vAlign w:val="center"/>
          </w:tcPr>
          <w:p>
            <w:pPr>
              <w:pStyle w:val="17"/>
              <w:spacing w:line="320" w:lineRule="exact"/>
              <w:rPr>
                <w:rFonts w:hAnsi="宋体"/>
              </w:rPr>
            </w:pPr>
            <w:r>
              <w:rPr>
                <w:rFonts w:hint="eastAsia" w:hAnsi="宋体"/>
              </w:rPr>
              <w:t>违约责任：</w:t>
            </w:r>
          </w:p>
          <w:p>
            <w:pPr>
              <w:pStyle w:val="17"/>
              <w:spacing w:line="320" w:lineRule="exact"/>
              <w:rPr>
                <w:rFonts w:hAnsi="宋体"/>
              </w:rPr>
            </w:pPr>
            <w:r>
              <w:rPr>
                <w:rFonts w:hint="eastAsia" w:hAnsi="宋体"/>
              </w:rPr>
              <w:t xml:space="preserve"> 具体违约条款及其它未尽事宜，将在双方签订合同时议定。</w:t>
            </w:r>
          </w:p>
        </w:tc>
      </w:tr>
    </w:tbl>
    <w:p>
      <w:pPr>
        <w:pStyle w:val="17"/>
        <w:spacing w:line="360" w:lineRule="exact"/>
        <w:rPr>
          <w:rFonts w:hAnsi="宋体"/>
          <w:b/>
          <w:bCs/>
        </w:rPr>
      </w:pPr>
      <w:r>
        <w:rPr>
          <w:rFonts w:hint="eastAsia" w:hAnsi="宋体"/>
          <w:b/>
          <w:bCs/>
        </w:rPr>
        <w:t>注：招标文件中标注★号的部分为实质性要求和条件（由采购人根据实际情况设置），投标人必须作出满足或者优于原要求和条件的承诺，否则投标无效。</w:t>
      </w:r>
    </w:p>
    <w:p>
      <w:pPr>
        <w:pStyle w:val="17"/>
        <w:spacing w:line="360" w:lineRule="exact"/>
        <w:jc w:val="center"/>
        <w:outlineLvl w:val="0"/>
        <w:rPr>
          <w:rFonts w:hAnsi="宋体"/>
          <w:b/>
          <w:sz w:val="36"/>
        </w:rPr>
      </w:pPr>
      <w:r>
        <w:rPr>
          <w:rFonts w:hAnsi="宋体"/>
          <w:b/>
          <w:bCs/>
        </w:rPr>
        <w:br w:type="page"/>
      </w:r>
      <w:bookmarkEnd w:id="12"/>
      <w:bookmarkEnd w:id="13"/>
      <w:bookmarkStart w:id="15" w:name="_Toc494123936"/>
      <w:r>
        <w:rPr>
          <w:rFonts w:hint="eastAsia" w:hAnsi="宋体"/>
          <w:b/>
          <w:sz w:val="36"/>
        </w:rPr>
        <w:t>第六章  项目需求</w:t>
      </w:r>
      <w:bookmarkEnd w:id="15"/>
    </w:p>
    <w:p>
      <w:pPr>
        <w:pStyle w:val="17"/>
        <w:spacing w:line="360" w:lineRule="exact"/>
        <w:ind w:firstLine="2249" w:firstLineChars="700"/>
        <w:rPr>
          <w:rFonts w:hAnsi="宋体"/>
          <w:b/>
          <w:bCs/>
          <w:kern w:val="0"/>
          <w:sz w:val="32"/>
        </w:rPr>
      </w:pPr>
    </w:p>
    <w:p>
      <w:pPr>
        <w:adjustRightInd w:val="0"/>
        <w:spacing w:line="340" w:lineRule="exact"/>
        <w:ind w:firstLine="211" w:firstLineChars="100"/>
        <w:rPr>
          <w:rFonts w:ascii="宋体" w:hAnsi="宋体"/>
          <w:b/>
          <w:bCs/>
        </w:rPr>
      </w:pPr>
      <w:r>
        <w:rPr>
          <w:rFonts w:hint="eastAsia" w:ascii="宋体" w:hAnsi="宋体"/>
          <w:b/>
          <w:bCs/>
        </w:rPr>
        <w:t>说明：</w:t>
      </w:r>
    </w:p>
    <w:p>
      <w:pPr>
        <w:adjustRightInd w:val="0"/>
        <w:spacing w:line="340" w:lineRule="exact"/>
        <w:ind w:left="6" w:firstLine="431"/>
        <w:rPr>
          <w:rFonts w:ascii="宋体" w:hAnsi="宋体"/>
        </w:rPr>
      </w:pPr>
      <w:r>
        <w:rPr>
          <w:rFonts w:ascii="宋体" w:hAnsi="宋体"/>
        </w:rPr>
        <w:t>1</w:t>
      </w:r>
      <w:r>
        <w:rPr>
          <w:rFonts w:hint="eastAsia" w:ascii="宋体" w:hAnsi="宋体"/>
        </w:rPr>
        <w:t>．</w:t>
      </w:r>
      <w:r>
        <w:rPr>
          <w:rFonts w:ascii="宋体" w:hAnsi="宋体"/>
          <w:szCs w:val="21"/>
        </w:rPr>
        <w:t>本章中</w:t>
      </w:r>
      <w:r>
        <w:rPr>
          <w:rFonts w:hint="eastAsia" w:ascii="宋体" w:hAnsi="宋体"/>
          <w:szCs w:val="21"/>
        </w:rPr>
        <w:t>的品牌型号、技术参数要求</w:t>
      </w:r>
      <w:r>
        <w:rPr>
          <w:rFonts w:hint="eastAsia" w:ascii="宋体" w:hAnsi="宋体"/>
          <w:b/>
          <w:bCs/>
          <w:szCs w:val="21"/>
        </w:rPr>
        <w:t>仅起参考作用</w:t>
      </w:r>
      <w:r>
        <w:rPr>
          <w:rFonts w:hint="eastAsia" w:ascii="宋体" w:hAnsi="宋体"/>
          <w:szCs w:val="21"/>
        </w:rPr>
        <w:t>，投标人可选用其他品牌型号替代，但这些替代的品牌型号要实质上相当于或优于参考品牌型号及其技术参数要求。</w:t>
      </w:r>
      <w:r>
        <w:rPr>
          <w:rFonts w:hint="eastAsia" w:ascii="宋体" w:hAnsi="宋体"/>
        </w:rPr>
        <w:t>同时填写技术规格偏离表</w:t>
      </w:r>
      <w:r>
        <w:rPr>
          <w:rFonts w:ascii="宋体" w:hAnsi="宋体"/>
        </w:rPr>
        <w:t>。</w:t>
      </w:r>
    </w:p>
    <w:p>
      <w:pPr>
        <w:spacing w:line="320" w:lineRule="exact"/>
        <w:ind w:firstLine="420" w:firstLineChars="200"/>
        <w:rPr>
          <w:rFonts w:ascii="宋体" w:hAnsi="宋体"/>
        </w:rPr>
      </w:pPr>
      <w:r>
        <w:rPr>
          <w:rFonts w:hint="eastAsia" w:ascii="宋体" w:hAnsi="宋体"/>
        </w:rPr>
        <w:t>2．凡在“</w:t>
      </w:r>
      <w:r>
        <w:rPr>
          <w:rFonts w:ascii="宋体" w:hAnsi="宋体"/>
        </w:rPr>
        <w:t>技术参数要求</w:t>
      </w:r>
      <w:r>
        <w:rPr>
          <w:rFonts w:hint="eastAsia" w:ascii="宋体" w:hAnsi="宋体"/>
        </w:rPr>
        <w:t>”中表述为“标配”或“标准配置”的设备，投标人应在投标报价表中将其标配参数详细列明。</w:t>
      </w:r>
    </w:p>
    <w:p>
      <w:pPr>
        <w:spacing w:line="320" w:lineRule="exact"/>
        <w:ind w:firstLine="420" w:firstLineChars="200"/>
        <w:rPr>
          <w:rFonts w:ascii="宋体" w:hAnsi="宋体"/>
        </w:rPr>
      </w:pPr>
      <w:r>
        <w:rPr>
          <w:rFonts w:hint="eastAsia" w:ascii="宋体" w:hAnsi="宋体"/>
        </w:rPr>
        <w:t>3.根据财政部令第87号第31条：供应商提供相同品牌产品 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pacing w:line="320" w:lineRule="exact"/>
        <w:ind w:firstLine="420" w:firstLineChars="200"/>
        <w:rPr>
          <w:rFonts w:ascii="宋体" w:hAnsi="宋体"/>
        </w:rPr>
      </w:pPr>
      <w:r>
        <w:rPr>
          <w:rFonts w:hint="eastAsia" w:ascii="宋体" w:hAnsi="宋体"/>
        </w:rPr>
        <w:t>非单一产品采购项目，采购人应当根据采购项目技术构成、产品价格比重等合理确定核心产品 ，并在招标文件中载明。多家投标人提供的核心产品品牌相同的，按前两款规定处理。</w:t>
      </w:r>
    </w:p>
    <w:p>
      <w:pPr>
        <w:spacing w:line="320" w:lineRule="exact"/>
        <w:ind w:firstLine="420" w:firstLineChars="200"/>
        <w:rPr>
          <w:rFonts w:ascii="宋体" w:hAnsi="宋体"/>
          <w:b/>
          <w:bCs/>
        </w:rPr>
      </w:pPr>
      <w:r>
        <w:rPr>
          <w:rFonts w:hint="eastAsia" w:ascii="宋体" w:hAnsi="宋体"/>
        </w:rPr>
        <w:t>4．</w:t>
      </w:r>
      <w:r>
        <w:rPr>
          <w:rFonts w:hint="eastAsia" w:ascii="宋体" w:hAnsi="宋体"/>
          <w:b/>
          <w:bCs/>
        </w:rPr>
        <w:t>本项目需求中标注★号的部分为实质性要求和条件（由采购人根据实际情况设置），投标人必须作出满足或者优于原要求和条件的承诺，否则投标无效。</w:t>
      </w:r>
    </w:p>
    <w:p>
      <w:pPr>
        <w:spacing w:line="400" w:lineRule="exact"/>
        <w:jc w:val="left"/>
        <w:rPr>
          <w:rFonts w:ascii="宋体" w:hAnsi="宋体" w:cs="宋体"/>
          <w:spacing w:val="15"/>
          <w:kern w:val="0"/>
          <w:szCs w:val="21"/>
        </w:rPr>
      </w:pPr>
      <w:bookmarkStart w:id="16" w:name="_Toc139966433"/>
      <w:bookmarkStart w:id="17" w:name="_Toc139967217"/>
    </w:p>
    <w:p>
      <w:pPr>
        <w:jc w:val="left"/>
        <w:rPr>
          <w:rFonts w:ascii="宋体"/>
          <w:b/>
          <w:bCs/>
          <w:kern w:val="0"/>
          <w:sz w:val="24"/>
        </w:rPr>
      </w:pPr>
      <w:r>
        <w:rPr>
          <w:rFonts w:hint="eastAsia" w:ascii="宋体" w:hAnsi="宋体"/>
          <w:b/>
          <w:bCs/>
          <w:kern w:val="0"/>
          <w:sz w:val="24"/>
        </w:rPr>
        <w:t>一、项目概述</w:t>
      </w:r>
    </w:p>
    <w:p>
      <w:pPr>
        <w:spacing w:line="320" w:lineRule="exact"/>
        <w:ind w:firstLine="420" w:firstLineChars="200"/>
        <w:rPr>
          <w:rFonts w:ascii="宋体" w:hAnsi="宋体"/>
        </w:rPr>
      </w:pPr>
      <w:r>
        <w:rPr>
          <w:rFonts w:hint="eastAsia" w:ascii="宋体" w:hAnsi="宋体"/>
        </w:rPr>
        <w:t>生物教育课程基地将以“围绕六项任务，建立五个中心，培育四种素养”为建设目标，创设具有生命科学特色的教学环境，突出高中生物学核心内容的模型建构。优化教学过程，高度重视信息技术推动的互动学习平台的研发。开发富有“山、海、港”特色的生物课程资源，形成学生实践创新的有效路径。扎实构建生物科学与技术实验中心、课程与教学研究中心、信息技术应用中心、人文教育中心和教师发展中心。以此为平台，让生物学的学习成为一个主动建构知识、发展能力、形成正确的情感态度与科学自然观的过程，逐步培育学生的生命观念、理性思维、探究能力和社会责任，最终形成生物学核心素养。</w:t>
      </w:r>
    </w:p>
    <w:p>
      <w:pPr>
        <w:jc w:val="left"/>
        <w:rPr>
          <w:rFonts w:ascii="宋体" w:hAnsi="宋体"/>
          <w:b/>
          <w:bCs/>
          <w:kern w:val="0"/>
          <w:sz w:val="24"/>
        </w:rPr>
      </w:pPr>
      <w:r>
        <w:rPr>
          <w:rFonts w:hint="eastAsia" w:ascii="宋体" w:hAnsi="宋体"/>
          <w:b/>
          <w:bCs/>
          <w:kern w:val="0"/>
          <w:sz w:val="24"/>
        </w:rPr>
        <w:t>二、实现功能</w:t>
      </w:r>
    </w:p>
    <w:p>
      <w:pPr>
        <w:spacing w:line="320" w:lineRule="exact"/>
        <w:ind w:firstLine="420" w:firstLineChars="200"/>
        <w:rPr>
          <w:rFonts w:ascii="宋体" w:hAnsi="宋体"/>
        </w:rPr>
      </w:pPr>
      <w:r>
        <w:rPr>
          <w:rFonts w:hint="eastAsia" w:ascii="宋体" w:hAnsi="宋体"/>
        </w:rPr>
        <w:t>此次连云港高级中学生物教育课程基地建设将以“创新”主题，让学生在生物课程的学习中体验乐趣同时又能丰富知识，从而达到培养学生自主学习、自主探索、生态思维拓展的目的。生物教育课程基地将由几大部分组成：生物基础实验室（细胞、分子）、生物综合实践室、生物标本展示与活动中心、生物教师发展中心、生物数字化探究实验室、组织培育和微生物发酵综合实验室。</w:t>
      </w:r>
    </w:p>
    <w:p>
      <w:pPr>
        <w:spacing w:line="320" w:lineRule="exact"/>
        <w:ind w:firstLine="420" w:firstLineChars="200"/>
        <w:rPr>
          <w:rFonts w:ascii="宋体" w:hAnsi="宋体"/>
        </w:rPr>
      </w:pPr>
      <w:r>
        <w:rPr>
          <w:rFonts w:hint="eastAsia" w:ascii="宋体" w:hAnsi="宋体"/>
        </w:rPr>
        <w:t>为了丰富学生的学习生活同时锻炼学生逻辑思维能力，生物基础实验室和生物综合实践室将以拓展视野、启迪思维、提升能力为目的。生物标本展示与活动中心将全面展示和介绍大自然的生态系统，其中将配备部分动物、植物等相关的标本以及知识展板，学生可以通过知识展板了解相关标本的知识和演化过程；数码数字化探索实验室将主要配置显微镜、数字化教学设备等为学生进一步探究生物的肌理提供有利的学习条件；组织培育和微生物发酵综合实验室将让学生们了解生物的培育及微生物发酵的相关知识，学生们能够从中了解到微生物的培育发酵过程。</w:t>
      </w:r>
    </w:p>
    <w:p>
      <w:pPr>
        <w:jc w:val="left"/>
        <w:rPr>
          <w:rFonts w:ascii="宋体" w:hAnsi="宋体"/>
          <w:b/>
          <w:bCs/>
          <w:kern w:val="0"/>
          <w:sz w:val="24"/>
        </w:rPr>
      </w:pPr>
      <w:r>
        <w:rPr>
          <w:rFonts w:hint="eastAsia" w:ascii="宋体" w:hAnsi="宋体"/>
          <w:b/>
          <w:bCs/>
          <w:kern w:val="0"/>
          <w:sz w:val="24"/>
        </w:rPr>
        <w:t>三、主要性能指标</w:t>
      </w:r>
    </w:p>
    <w:p>
      <w:pPr>
        <w:rPr>
          <w:rFonts w:ascii="宋体" w:hAnsi="宋体"/>
        </w:rPr>
      </w:pPr>
      <w:r>
        <w:rPr>
          <w:rFonts w:hint="eastAsia" w:ascii="宋体" w:hAnsi="宋体"/>
        </w:rPr>
        <w:t xml:space="preserve">   </w:t>
      </w:r>
    </w:p>
    <w:tbl>
      <w:tblPr>
        <w:tblStyle w:val="41"/>
        <w:tblW w:w="9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047"/>
        <w:gridCol w:w="1084"/>
        <w:gridCol w:w="4784"/>
        <w:gridCol w:w="556"/>
        <w:gridCol w:w="556"/>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jc w:val="center"/>
              <w:rPr>
                <w:rFonts w:ascii="宋体" w:hAnsi="宋体"/>
                <w:b/>
                <w:bCs/>
                <w:kern w:val="0"/>
                <w:sz w:val="18"/>
                <w:szCs w:val="18"/>
              </w:rPr>
            </w:pPr>
            <w:bookmarkStart w:id="18" w:name="_Toc139966432"/>
            <w:bookmarkStart w:id="19" w:name="_Toc139967216"/>
            <w:r>
              <w:rPr>
                <w:rFonts w:hint="eastAsia" w:ascii="宋体" w:hAnsi="宋体"/>
                <w:b/>
                <w:bCs/>
                <w:kern w:val="0"/>
                <w:sz w:val="18"/>
                <w:szCs w:val="18"/>
              </w:rPr>
              <w:t>序号</w:t>
            </w:r>
          </w:p>
        </w:tc>
        <w:tc>
          <w:tcPr>
            <w:tcW w:w="1047" w:type="dxa"/>
            <w:vAlign w:val="center"/>
          </w:tcPr>
          <w:p>
            <w:pPr>
              <w:widowControl/>
              <w:jc w:val="center"/>
              <w:rPr>
                <w:rFonts w:ascii="宋体" w:hAnsi="宋体"/>
                <w:b/>
                <w:bCs/>
                <w:kern w:val="0"/>
                <w:sz w:val="18"/>
                <w:szCs w:val="18"/>
              </w:rPr>
            </w:pPr>
            <w:r>
              <w:rPr>
                <w:rFonts w:hint="eastAsia" w:ascii="宋体" w:hAnsi="宋体"/>
                <w:b/>
                <w:bCs/>
                <w:kern w:val="0"/>
                <w:sz w:val="18"/>
                <w:szCs w:val="18"/>
              </w:rPr>
              <w:t>设备名称</w:t>
            </w:r>
          </w:p>
        </w:tc>
        <w:tc>
          <w:tcPr>
            <w:tcW w:w="1084" w:type="dxa"/>
            <w:vAlign w:val="center"/>
          </w:tcPr>
          <w:p>
            <w:pPr>
              <w:widowControl/>
              <w:jc w:val="center"/>
              <w:rPr>
                <w:rFonts w:ascii="宋体" w:hAnsi="宋体"/>
                <w:b/>
                <w:bCs/>
                <w:kern w:val="0"/>
                <w:sz w:val="18"/>
                <w:szCs w:val="18"/>
              </w:rPr>
            </w:pPr>
            <w:r>
              <w:rPr>
                <w:rFonts w:hint="eastAsia" w:ascii="宋体" w:hAnsi="宋体"/>
                <w:b/>
                <w:bCs/>
                <w:kern w:val="0"/>
                <w:sz w:val="18"/>
                <w:szCs w:val="18"/>
              </w:rPr>
              <w:t>规格要求（mm)</w:t>
            </w:r>
          </w:p>
        </w:tc>
        <w:tc>
          <w:tcPr>
            <w:tcW w:w="4784" w:type="dxa"/>
            <w:vAlign w:val="center"/>
          </w:tcPr>
          <w:p>
            <w:pPr>
              <w:widowControl/>
              <w:jc w:val="center"/>
              <w:rPr>
                <w:rFonts w:ascii="宋体" w:hAnsi="宋体"/>
                <w:b/>
                <w:bCs/>
                <w:kern w:val="0"/>
                <w:sz w:val="18"/>
                <w:szCs w:val="18"/>
              </w:rPr>
            </w:pPr>
            <w:r>
              <w:rPr>
                <w:rFonts w:hint="eastAsia" w:ascii="宋体" w:hAnsi="宋体"/>
                <w:b/>
                <w:bCs/>
                <w:kern w:val="0"/>
                <w:sz w:val="18"/>
                <w:szCs w:val="18"/>
              </w:rPr>
              <w:t>技术参数及性能描述</w:t>
            </w:r>
          </w:p>
        </w:tc>
        <w:tc>
          <w:tcPr>
            <w:tcW w:w="556" w:type="dxa"/>
            <w:vAlign w:val="center"/>
          </w:tcPr>
          <w:p>
            <w:pPr>
              <w:widowControl/>
              <w:jc w:val="center"/>
              <w:rPr>
                <w:rFonts w:ascii="宋体" w:hAnsi="宋体"/>
                <w:b/>
                <w:bCs/>
                <w:kern w:val="0"/>
                <w:sz w:val="18"/>
                <w:szCs w:val="18"/>
              </w:rPr>
            </w:pPr>
            <w:r>
              <w:rPr>
                <w:rFonts w:hint="eastAsia" w:ascii="宋体" w:hAnsi="宋体"/>
                <w:b/>
                <w:bCs/>
                <w:kern w:val="0"/>
                <w:sz w:val="18"/>
                <w:szCs w:val="18"/>
              </w:rPr>
              <w:t>数量</w:t>
            </w:r>
          </w:p>
        </w:tc>
        <w:tc>
          <w:tcPr>
            <w:tcW w:w="556" w:type="dxa"/>
            <w:vAlign w:val="center"/>
          </w:tcPr>
          <w:p>
            <w:pPr>
              <w:widowControl/>
              <w:jc w:val="center"/>
              <w:rPr>
                <w:rFonts w:ascii="宋体" w:hAnsi="宋体"/>
                <w:b/>
                <w:bCs/>
                <w:kern w:val="0"/>
                <w:sz w:val="18"/>
                <w:szCs w:val="18"/>
              </w:rPr>
            </w:pPr>
            <w:r>
              <w:rPr>
                <w:rFonts w:hint="eastAsia" w:ascii="宋体" w:hAnsi="宋体"/>
                <w:b/>
                <w:bCs/>
                <w:kern w:val="0"/>
                <w:sz w:val="18"/>
                <w:szCs w:val="18"/>
              </w:rPr>
              <w:t>单位</w:t>
            </w:r>
          </w:p>
        </w:tc>
        <w:tc>
          <w:tcPr>
            <w:tcW w:w="1168" w:type="dxa"/>
            <w:vAlign w:val="center"/>
          </w:tcPr>
          <w:p>
            <w:pPr>
              <w:widowControl/>
              <w:jc w:val="center"/>
              <w:rPr>
                <w:rFonts w:ascii="宋体" w:hAnsi="宋体"/>
                <w:b/>
                <w:bCs/>
                <w:kern w:val="0"/>
                <w:sz w:val="18"/>
                <w:szCs w:val="18"/>
              </w:rPr>
            </w:pPr>
            <w:r>
              <w:rPr>
                <w:rFonts w:hint="eastAsia" w:ascii="宋体" w:hAnsi="宋体"/>
                <w:b/>
                <w:bCs/>
                <w:kern w:val="0"/>
                <w:sz w:val="18"/>
                <w:szCs w:val="18"/>
              </w:rPr>
              <w:t>建议品牌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bottom"/>
          </w:tcPr>
          <w:p>
            <w:pPr>
              <w:widowControl/>
              <w:jc w:val="left"/>
              <w:rPr>
                <w:rFonts w:ascii="宋体" w:hAnsi="宋体"/>
                <w:b/>
                <w:bCs/>
                <w:kern w:val="0"/>
                <w:sz w:val="18"/>
                <w:szCs w:val="18"/>
              </w:rPr>
            </w:pPr>
            <w:r>
              <w:rPr>
                <w:rFonts w:hint="eastAsia" w:ascii="宋体" w:hAnsi="宋体"/>
                <w:b/>
                <w:bCs/>
                <w:kern w:val="0"/>
                <w:sz w:val="18"/>
                <w:szCs w:val="18"/>
              </w:rPr>
              <w:t>一、生物基础实验室1（细胞主题）三楼</w:t>
            </w: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1168" w:type="dxa"/>
            <w:vAlign w:val="center"/>
          </w:tcPr>
          <w:p>
            <w:pPr>
              <w:widowControl/>
              <w:jc w:val="center"/>
              <w:rPr>
                <w:rFonts w:ascii="宋体" w:hAnsi="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bottom"/>
          </w:tcPr>
          <w:p>
            <w:pPr>
              <w:widowControl/>
              <w:jc w:val="center"/>
              <w:rPr>
                <w:rFonts w:ascii="宋体" w:hAnsi="宋体"/>
                <w:b/>
                <w:bCs/>
                <w:kern w:val="0"/>
                <w:sz w:val="18"/>
                <w:szCs w:val="18"/>
              </w:rPr>
            </w:pPr>
            <w:r>
              <w:rPr>
                <w:rFonts w:hint="eastAsia" w:ascii="宋体" w:hAnsi="宋体"/>
                <w:b/>
                <w:bCs/>
                <w:kern w:val="0"/>
                <w:sz w:val="18"/>
                <w:szCs w:val="18"/>
              </w:rPr>
              <w:t>（一）实验室基础仪器设备</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1168" w:type="dxa"/>
            <w:vAlign w:val="center"/>
          </w:tcPr>
          <w:p>
            <w:pPr>
              <w:widowControl/>
              <w:jc w:val="center"/>
              <w:rPr>
                <w:rFonts w:ascii="宋体" w:hAnsi="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收纳矮书架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800×400×700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双层设计，分2列空格，共4分格；</w:t>
            </w:r>
            <w:r>
              <w:rPr>
                <w:rFonts w:hint="eastAsia" w:ascii="宋体" w:hAnsi="宋体"/>
                <w:kern w:val="0"/>
                <w:sz w:val="18"/>
                <w:szCs w:val="18"/>
              </w:rPr>
              <w:br w:type="textWrapping"/>
            </w:r>
            <w:r>
              <w:rPr>
                <w:rFonts w:hint="eastAsia" w:ascii="宋体" w:hAnsi="宋体"/>
                <w:kern w:val="0"/>
                <w:sz w:val="18"/>
                <w:szCs w:val="18"/>
              </w:rPr>
              <w:t>1.基材：采用优质E1板材，桌体台面采用2mm厚封边条、柜体侧板（除与地面接触边）、柜体顶板、门板、抽面板等可见处采用2mm厚封边条，其余部位封1mm封边条。板件之间采用三合一连接和木梢的方式连接固定。</w:t>
            </w:r>
            <w:r>
              <w:rPr>
                <w:rFonts w:hint="eastAsia" w:ascii="宋体" w:hAnsi="宋体"/>
                <w:kern w:val="0"/>
                <w:sz w:val="18"/>
                <w:szCs w:val="18"/>
              </w:rPr>
              <w:br w:type="textWrapping"/>
            </w:r>
            <w:r>
              <w:rPr>
                <w:rFonts w:hint="eastAsia" w:ascii="宋体" w:hAnsi="宋体"/>
                <w:kern w:val="0"/>
                <w:sz w:val="18"/>
                <w:szCs w:val="18"/>
              </w:rPr>
              <w:t>2.封边：采用封边条厚度2.5MM的优质同色PVC封边条，无起花，异色边缘修饰平整、光滑。</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后墙储存矮柜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1000×500×1000</w:t>
            </w:r>
          </w:p>
        </w:tc>
        <w:tc>
          <w:tcPr>
            <w:tcW w:w="4784" w:type="dxa"/>
            <w:vAlign w:val="center"/>
          </w:tcPr>
          <w:p>
            <w:pPr>
              <w:widowControl/>
              <w:rPr>
                <w:rFonts w:ascii="宋体" w:hAnsi="宋体"/>
                <w:kern w:val="0"/>
                <w:sz w:val="18"/>
                <w:szCs w:val="18"/>
              </w:rPr>
            </w:pPr>
            <w:r>
              <w:rPr>
                <w:rFonts w:hint="eastAsia" w:ascii="宋体" w:hAnsi="宋体"/>
                <w:kern w:val="0"/>
                <w:sz w:val="18"/>
                <w:szCs w:val="18"/>
              </w:rPr>
              <w:t>全钢结构。</w:t>
            </w:r>
          </w:p>
          <w:p>
            <w:pPr>
              <w:widowControl/>
              <w:rPr>
                <w:rFonts w:ascii="宋体" w:hAnsi="宋体"/>
                <w:kern w:val="0"/>
                <w:sz w:val="18"/>
                <w:szCs w:val="18"/>
              </w:rPr>
            </w:pPr>
            <w:r>
              <w:rPr>
                <w:rFonts w:hint="eastAsia" w:ascii="宋体" w:hAnsi="宋体"/>
                <w:kern w:val="0"/>
                <w:sz w:val="18"/>
                <w:szCs w:val="18"/>
              </w:rPr>
              <w:t>1.框架：采用1.2㎜厚镀锌钢板裁剪折弯后满焊点焊接，表面经EPOXY喷涂处理，连接件采用不锈钢连接件。</w:t>
            </w:r>
          </w:p>
          <w:p>
            <w:pPr>
              <w:widowControl/>
              <w:rPr>
                <w:rFonts w:ascii="宋体" w:hAnsi="宋体"/>
                <w:kern w:val="0"/>
                <w:sz w:val="18"/>
                <w:szCs w:val="18"/>
              </w:rPr>
            </w:pPr>
            <w:r>
              <w:rPr>
                <w:rFonts w:hint="eastAsia" w:ascii="宋体" w:hAnsi="宋体"/>
                <w:kern w:val="0"/>
                <w:sz w:val="18"/>
                <w:szCs w:val="18"/>
              </w:rPr>
              <w:t>2.柜体：侧板、背板采用采用1.2㎜厚镀锌钢板裁剪折弯后满焊点焊接，表面经EPOXY喷涂处理，连接件采用不锈钢连接件。</w:t>
            </w:r>
          </w:p>
          <w:p>
            <w:pPr>
              <w:widowControl/>
              <w:rPr>
                <w:rFonts w:ascii="宋体" w:hAnsi="宋体"/>
                <w:kern w:val="0"/>
                <w:sz w:val="18"/>
                <w:szCs w:val="18"/>
              </w:rPr>
            </w:pPr>
            <w:r>
              <w:rPr>
                <w:rFonts w:hint="eastAsia" w:ascii="宋体" w:hAnsi="宋体"/>
                <w:kern w:val="0"/>
                <w:sz w:val="18"/>
                <w:szCs w:val="18"/>
              </w:rPr>
              <w:t>3.柜门：采用1.2㎜厚镀锌钢板裁剪折弯后满焊点焊接，表面经EPOXY喷涂处理，对开门式设计。</w:t>
            </w:r>
          </w:p>
          <w:p>
            <w:pPr>
              <w:widowControl/>
              <w:rPr>
                <w:rFonts w:ascii="宋体" w:hAnsi="宋体"/>
                <w:kern w:val="0"/>
                <w:sz w:val="18"/>
                <w:szCs w:val="18"/>
              </w:rPr>
            </w:pPr>
            <w:r>
              <w:rPr>
                <w:rFonts w:hint="eastAsia" w:ascii="宋体" w:hAnsi="宋体"/>
                <w:kern w:val="0"/>
                <w:sz w:val="18"/>
                <w:szCs w:val="18"/>
              </w:rPr>
              <w:t>4.拉手：采用SUS304不锈钢C型拉手。</w:t>
            </w:r>
          </w:p>
          <w:p>
            <w:pPr>
              <w:widowControl/>
              <w:rPr>
                <w:rFonts w:ascii="宋体" w:hAnsi="宋体"/>
                <w:kern w:val="0"/>
                <w:sz w:val="18"/>
                <w:szCs w:val="18"/>
              </w:rPr>
            </w:pPr>
            <w:r>
              <w:rPr>
                <w:rFonts w:hint="eastAsia" w:ascii="宋体" w:hAnsi="宋体"/>
                <w:kern w:val="0"/>
                <w:sz w:val="18"/>
                <w:szCs w:val="18"/>
              </w:rPr>
              <w:t>5.铰链：采用定位铰链或2mm不锈钢合页。</w:t>
            </w:r>
          </w:p>
          <w:p>
            <w:pPr>
              <w:widowControl/>
              <w:rPr>
                <w:rFonts w:ascii="宋体" w:hAnsi="宋体"/>
                <w:kern w:val="0"/>
                <w:sz w:val="18"/>
                <w:szCs w:val="18"/>
              </w:rPr>
            </w:pPr>
            <w:r>
              <w:rPr>
                <w:rFonts w:hint="eastAsia" w:ascii="宋体" w:hAnsi="宋体"/>
                <w:kern w:val="0"/>
                <w:sz w:val="18"/>
                <w:szCs w:val="18"/>
              </w:rPr>
              <w:t>6.调整脚：采用ABS新料模具一体成型的承重型可调节地脚，螺丝SUS304不锈钢材质。</w:t>
            </w:r>
          </w:p>
          <w:p>
            <w:pPr>
              <w:widowControl/>
              <w:rPr>
                <w:rFonts w:ascii="宋体" w:hAnsi="宋体"/>
                <w:kern w:val="0"/>
                <w:sz w:val="18"/>
                <w:szCs w:val="18"/>
              </w:rPr>
            </w:pPr>
            <w:r>
              <w:rPr>
                <w:rFonts w:hint="eastAsia" w:ascii="宋体" w:hAnsi="宋体"/>
                <w:kern w:val="0"/>
                <w:sz w:val="18"/>
                <w:szCs w:val="18"/>
              </w:rPr>
              <w:t>7.顶面采用采用12.7mm厚抗倍特板制作，边沿镶边加厚至25mm厚；</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双目电光源显微镜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1.放大倍率：40X—1000X。</w:t>
            </w:r>
            <w:r>
              <w:rPr>
                <w:rFonts w:hint="eastAsia" w:ascii="宋体" w:hAnsi="宋体"/>
                <w:kern w:val="0"/>
                <w:sz w:val="18"/>
                <w:szCs w:val="18"/>
              </w:rPr>
              <w:br w:type="textWrapping"/>
            </w:r>
            <w:r>
              <w:rPr>
                <w:rFonts w:hint="eastAsia" w:ascii="宋体" w:hAnsi="宋体"/>
                <w:kern w:val="0"/>
                <w:sz w:val="18"/>
                <w:szCs w:val="18"/>
              </w:rPr>
              <w:t>2.目镜：广角目镜WF10X/18mm  推拉式双目观察筒，45度倾斜，360度旋转，视度可调。</w:t>
            </w:r>
            <w:r>
              <w:rPr>
                <w:rFonts w:hint="eastAsia" w:ascii="宋体" w:hAnsi="宋体"/>
                <w:kern w:val="0"/>
                <w:sz w:val="18"/>
                <w:szCs w:val="18"/>
              </w:rPr>
              <w:br w:type="textWrapping"/>
            </w:r>
            <w:r>
              <w:rPr>
                <w:rFonts w:hint="eastAsia" w:ascii="宋体" w:hAnsi="宋体"/>
                <w:kern w:val="0"/>
                <w:sz w:val="18"/>
                <w:szCs w:val="18"/>
              </w:rPr>
              <w:t>3.物镜：消色差物镜4X，10X，40X（弹簧）100X（油/弹簧）四孔转换器为使用不同倍率的物镜提供了方便。</w:t>
            </w:r>
            <w:r>
              <w:rPr>
                <w:rFonts w:hint="eastAsia" w:ascii="宋体" w:hAnsi="宋体"/>
                <w:kern w:val="0"/>
                <w:sz w:val="18"/>
                <w:szCs w:val="18"/>
              </w:rPr>
              <w:br w:type="textWrapping"/>
            </w:r>
            <w:r>
              <w:rPr>
                <w:rFonts w:hint="eastAsia" w:ascii="宋体" w:hAnsi="宋体"/>
                <w:kern w:val="0"/>
                <w:sz w:val="18"/>
                <w:szCs w:val="18"/>
              </w:rPr>
              <w:t>4.弯臂机架，金属平台可升降；金属平台，台面110mmX125mm。</w:t>
            </w:r>
            <w:r>
              <w:rPr>
                <w:rFonts w:hint="eastAsia" w:ascii="宋体" w:hAnsi="宋体"/>
                <w:kern w:val="0"/>
                <w:sz w:val="18"/>
                <w:szCs w:val="18"/>
              </w:rPr>
              <w:br w:type="textWrapping"/>
            </w:r>
            <w:r>
              <w:rPr>
                <w:rFonts w:hint="eastAsia" w:ascii="宋体" w:hAnsi="宋体"/>
                <w:kern w:val="0"/>
                <w:sz w:val="18"/>
                <w:szCs w:val="18"/>
              </w:rPr>
              <w:t>5.阿贝式聚光镜，数值孔径N.A=1.25，可变光栏，带滤色镜托架，内置LED电光源，使用寿命长。</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6</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b/>
                <w:bCs/>
                <w:kern w:val="0"/>
                <w:sz w:val="18"/>
                <w:szCs w:val="18"/>
              </w:rPr>
            </w:pPr>
            <w:r>
              <w:rPr>
                <w:rFonts w:hint="eastAsia" w:ascii="宋体" w:hAnsi="宋体"/>
                <w:b/>
                <w:bCs/>
                <w:kern w:val="0"/>
                <w:sz w:val="18"/>
                <w:szCs w:val="18"/>
              </w:rPr>
              <w:t>学生用生物显微镜（投标时提供样品演示）</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单目学生用反光镜电光源可互换生物显微镜性能特点：目镜：WF10X18MM目镜 带指针物镜：4X，10X，40X消色差物镜镜筒：45度倾斜，360度旋转转换器：三孔转换器，保证齐焦载物台：110X120MM聚光镜：N.A0.65光源：LED高亮度光源，可与反光镜互换.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14</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实物投影仪</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510×410×120</w:t>
            </w:r>
          </w:p>
        </w:tc>
        <w:tc>
          <w:tcPr>
            <w:tcW w:w="4784" w:type="dxa"/>
            <w:vAlign w:val="center"/>
          </w:tcPr>
          <w:p>
            <w:pPr>
              <w:widowControl/>
              <w:rPr>
                <w:rFonts w:ascii="宋体" w:hAnsi="宋体"/>
                <w:kern w:val="0"/>
                <w:sz w:val="18"/>
                <w:szCs w:val="18"/>
              </w:rPr>
            </w:pPr>
            <w:r>
              <w:rPr>
                <w:rFonts w:hint="eastAsia" w:ascii="宋体" w:hAnsi="宋体"/>
                <w:kern w:val="0"/>
                <w:sz w:val="18"/>
                <w:szCs w:val="18"/>
              </w:rPr>
              <w:t>整机≥220倍放大,图像特技：正负片、冻结、旋转、标题、同屏对比、镜像、文本/图像、黑白/彩页.图像存储：有.同屏对比：有.USB2.0接口： 有(提供接口软件或附件，可供用户计算机程序实时调用展示台上实物摄像图像，并能控制展台物理操作).RGB输入输出：DB15FLC 各 2组.RGB输出分辨率：XGA、SXGA、WXGA、720P 16:9.镜头输出像素：320万.RS232接口：有.音频输入：3.5mm插口3组.音频输出：3.5mm插口1组.视频输入：RCA 1组.视频输出：RCA 1组,S-VIDEO 1组.麦克风输入： 麦克风插座.HDMI输入： 无.HDMI输出: 无.SD卡储存：不支持.侧灯： 2个1.0W LED.红,蓝增益： 有.亮度调节： 有.投影机开关/信号/输入切换： RS232控制.安全锁：有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鸿合、希沃、峰宁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电脑与多媒体设备调试</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品牌机，≥21英寸，宽视角一体机,全高清1920X1080，具有防眩光涂层，立式底座，第七代英特尔酷睿I3-7100U处理器，≥4GB DDR4 2400MHZ 内存/500G 5400RPM 硬盘，intel  HD Graphic 显卡/带无线及蓝牙功能，原厂三年免费质保；与原投影仪相连并进行调试</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联想、惠普、戴尔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立式空调</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5P及以上</w:t>
            </w:r>
            <w:r>
              <w:rPr>
                <w:rFonts w:hint="eastAsia" w:ascii="宋体" w:hAnsi="宋体"/>
                <w:kern w:val="0"/>
                <w:sz w:val="18"/>
                <w:szCs w:val="18"/>
              </w:rPr>
              <w:br w:type="textWrapping"/>
            </w:r>
            <w:r>
              <w:rPr>
                <w:rFonts w:hint="eastAsia" w:ascii="宋体" w:hAnsi="宋体"/>
                <w:kern w:val="0"/>
                <w:sz w:val="18"/>
                <w:szCs w:val="18"/>
              </w:rPr>
              <w:t>冷暖</w:t>
            </w:r>
            <w:r>
              <w:rPr>
                <w:rFonts w:hint="eastAsia" w:ascii="宋体" w:hAnsi="宋体"/>
                <w:kern w:val="0"/>
                <w:sz w:val="18"/>
                <w:szCs w:val="18"/>
              </w:rPr>
              <w:br w:type="textWrapping"/>
            </w:r>
            <w:r>
              <w:rPr>
                <w:rFonts w:hint="eastAsia" w:ascii="宋体" w:hAnsi="宋体"/>
                <w:kern w:val="0"/>
                <w:sz w:val="18"/>
                <w:szCs w:val="18"/>
              </w:rPr>
              <w:t>定频</w:t>
            </w:r>
          </w:p>
          <w:p>
            <w:pPr>
              <w:widowControl/>
              <w:jc w:val="left"/>
              <w:rPr>
                <w:rFonts w:ascii="宋体" w:hAnsi="宋体"/>
                <w:kern w:val="0"/>
                <w:sz w:val="18"/>
                <w:szCs w:val="18"/>
              </w:rPr>
            </w:pPr>
            <w:r>
              <w:rPr>
                <w:rFonts w:hint="eastAsia" w:ascii="宋体" w:hAnsi="宋体"/>
                <w:kern w:val="0"/>
                <w:sz w:val="18"/>
                <w:szCs w:val="18"/>
              </w:rPr>
              <w:t>电辅加热</w:t>
            </w:r>
            <w:r>
              <w:rPr>
                <w:rFonts w:hint="eastAsia" w:ascii="宋体" w:hAnsi="宋体"/>
                <w:kern w:val="0"/>
                <w:sz w:val="18"/>
                <w:szCs w:val="18"/>
              </w:rPr>
              <w:br w:type="textWrapping"/>
            </w:r>
            <w:r>
              <w:rPr>
                <w:rFonts w:hint="eastAsia" w:ascii="宋体" w:hAnsi="宋体"/>
                <w:kern w:val="0"/>
                <w:sz w:val="18"/>
                <w:szCs w:val="18"/>
              </w:rPr>
              <w:t>制冷量(W)：12000</w:t>
            </w:r>
            <w:r>
              <w:rPr>
                <w:rFonts w:hint="eastAsia" w:ascii="宋体" w:hAnsi="宋体"/>
                <w:kern w:val="0"/>
                <w:sz w:val="18"/>
                <w:szCs w:val="18"/>
              </w:rPr>
              <w:br w:type="textWrapping"/>
            </w:r>
            <w:r>
              <w:rPr>
                <w:rFonts w:hint="eastAsia" w:ascii="宋体" w:hAnsi="宋体"/>
                <w:kern w:val="0"/>
                <w:sz w:val="18"/>
                <w:szCs w:val="18"/>
              </w:rPr>
              <w:t>制冷功率(W)：3680</w:t>
            </w:r>
            <w:r>
              <w:rPr>
                <w:rFonts w:hint="eastAsia" w:ascii="宋体" w:hAnsi="宋体"/>
                <w:kern w:val="0"/>
                <w:sz w:val="18"/>
                <w:szCs w:val="18"/>
              </w:rPr>
              <w:br w:type="textWrapping"/>
            </w:r>
            <w:r>
              <w:rPr>
                <w:rFonts w:hint="eastAsia" w:ascii="宋体" w:hAnsi="宋体"/>
                <w:kern w:val="0"/>
                <w:sz w:val="18"/>
                <w:szCs w:val="18"/>
              </w:rPr>
              <w:t>制热量(W)：14000</w:t>
            </w:r>
            <w:r>
              <w:rPr>
                <w:rFonts w:hint="eastAsia" w:ascii="宋体" w:hAnsi="宋体"/>
                <w:kern w:val="0"/>
                <w:sz w:val="18"/>
                <w:szCs w:val="18"/>
              </w:rPr>
              <w:br w:type="textWrapping"/>
            </w:r>
            <w:r>
              <w:rPr>
                <w:rFonts w:hint="eastAsia" w:ascii="宋体" w:hAnsi="宋体"/>
                <w:kern w:val="0"/>
                <w:sz w:val="18"/>
                <w:szCs w:val="18"/>
              </w:rPr>
              <w:t>制热功率(W)：3950</w:t>
            </w:r>
            <w:r>
              <w:rPr>
                <w:rFonts w:hint="eastAsia" w:ascii="宋体" w:hAnsi="宋体"/>
                <w:kern w:val="0"/>
                <w:sz w:val="18"/>
                <w:szCs w:val="18"/>
              </w:rPr>
              <w:br w:type="textWrapping"/>
            </w:r>
            <w:r>
              <w:rPr>
                <w:rFonts w:hint="eastAsia" w:ascii="宋体" w:hAnsi="宋体"/>
                <w:kern w:val="0"/>
                <w:sz w:val="18"/>
                <w:szCs w:val="18"/>
              </w:rPr>
              <w:t>电辅加热功率(W)：3500</w:t>
            </w:r>
            <w:r>
              <w:rPr>
                <w:rFonts w:hint="eastAsia" w:ascii="宋体" w:hAnsi="宋体"/>
                <w:kern w:val="0"/>
                <w:sz w:val="18"/>
                <w:szCs w:val="18"/>
              </w:rPr>
              <w:br w:type="textWrapping"/>
            </w:r>
            <w:r>
              <w:rPr>
                <w:rFonts w:hint="eastAsia" w:ascii="宋体" w:hAnsi="宋体"/>
                <w:kern w:val="0"/>
                <w:sz w:val="18"/>
                <w:szCs w:val="18"/>
              </w:rPr>
              <w:t>内机噪音(dB(A)：51/46/41</w:t>
            </w:r>
            <w:r>
              <w:rPr>
                <w:rFonts w:hint="eastAsia" w:ascii="宋体" w:hAnsi="宋体"/>
                <w:kern w:val="0"/>
                <w:sz w:val="18"/>
                <w:szCs w:val="18"/>
              </w:rPr>
              <w:br w:type="textWrapping"/>
            </w:r>
            <w:r>
              <w:rPr>
                <w:rFonts w:hint="eastAsia" w:ascii="宋体" w:hAnsi="宋体"/>
                <w:kern w:val="0"/>
                <w:sz w:val="18"/>
                <w:szCs w:val="18"/>
              </w:rPr>
              <w:t>外机噪音(dB(A)：58</w:t>
            </w:r>
            <w:r>
              <w:rPr>
                <w:rFonts w:hint="eastAsia" w:ascii="宋体" w:hAnsi="宋体"/>
                <w:kern w:val="0"/>
                <w:sz w:val="18"/>
                <w:szCs w:val="18"/>
              </w:rPr>
              <w:br w:type="textWrapping"/>
            </w:r>
            <w:r>
              <w:rPr>
                <w:rFonts w:hint="eastAsia" w:ascii="宋体" w:hAnsi="宋体"/>
                <w:kern w:val="0"/>
                <w:sz w:val="18"/>
                <w:szCs w:val="18"/>
              </w:rPr>
              <w:t>定频机能效比：3.19</w:t>
            </w:r>
            <w:r>
              <w:rPr>
                <w:rFonts w:hint="eastAsia" w:ascii="宋体" w:hAnsi="宋体"/>
                <w:kern w:val="0"/>
                <w:sz w:val="18"/>
                <w:szCs w:val="18"/>
              </w:rPr>
              <w:br w:type="textWrapping"/>
            </w:r>
            <w:r>
              <w:rPr>
                <w:rFonts w:hint="eastAsia" w:ascii="宋体" w:hAnsi="宋体"/>
                <w:kern w:val="0"/>
                <w:sz w:val="18"/>
                <w:szCs w:val="18"/>
              </w:rPr>
              <w:t>循环风量(m3/h)：2000</w:t>
            </w:r>
            <w:r>
              <w:rPr>
                <w:rFonts w:hint="eastAsia" w:ascii="宋体" w:hAnsi="宋体"/>
                <w:kern w:val="0"/>
                <w:sz w:val="18"/>
                <w:szCs w:val="18"/>
              </w:rPr>
              <w:br w:type="textWrapping"/>
            </w:r>
            <w:r>
              <w:rPr>
                <w:rFonts w:hint="eastAsia" w:ascii="宋体" w:hAnsi="宋体"/>
                <w:kern w:val="0"/>
                <w:sz w:val="18"/>
                <w:szCs w:val="18"/>
              </w:rPr>
              <w:t>上下/左右扫风</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空调辅材及安装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包含：连机铜管、电源线、PVC排水管、吊杆、支架。人工费、安装费等辅助。</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bottom"/>
          </w:tcPr>
          <w:p>
            <w:pPr>
              <w:widowControl/>
              <w:jc w:val="center"/>
              <w:rPr>
                <w:rFonts w:ascii="宋体" w:hAnsi="宋体"/>
                <w:b/>
                <w:bCs/>
                <w:kern w:val="0"/>
                <w:sz w:val="18"/>
                <w:szCs w:val="18"/>
              </w:rPr>
            </w:pPr>
            <w:r>
              <w:rPr>
                <w:rFonts w:hint="eastAsia" w:ascii="宋体" w:hAnsi="宋体"/>
                <w:b/>
                <w:bCs/>
                <w:kern w:val="0"/>
                <w:sz w:val="18"/>
                <w:szCs w:val="18"/>
              </w:rPr>
              <w:t>（二）实验室主体修复及文化展示</w:t>
            </w:r>
          </w:p>
        </w:tc>
        <w:tc>
          <w:tcPr>
            <w:tcW w:w="4784" w:type="dxa"/>
            <w:vAlign w:val="center"/>
          </w:tcPr>
          <w:p>
            <w:pPr>
              <w:widowControl/>
              <w:jc w:val="left"/>
              <w:rPr>
                <w:rFonts w:ascii="宋体" w:hAnsi="宋体"/>
                <w:b/>
                <w:bCs/>
                <w:kern w:val="0"/>
                <w:sz w:val="18"/>
                <w:szCs w:val="18"/>
              </w:rPr>
            </w:pPr>
            <w:r>
              <w:rPr>
                <w:rFonts w:hint="eastAsia" w:ascii="宋体" w:hAnsi="宋体"/>
                <w:b/>
                <w:bCs/>
                <w:kern w:val="0"/>
                <w:sz w:val="18"/>
                <w:szCs w:val="18"/>
              </w:rPr>
              <w:t>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生物文化展示展板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要求结构符合整体设计理念，符合整体生物课程基地特色展示构造，内容要求满足生物基础实验室课程设计要求，材质采用高强度雪弗板，贴高清写真画面。含设计、安装。尺寸不小于600*800mm；</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桌体修复及更新配件安装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满足学校原有实验桌的修复更新人工及配件安装</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局部乳胶漆涂装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内容包括局部墙面修复、底面刮灰、面涂白色或彩色涂料，二底二面。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电路系统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空调电线铺设及穿管布线等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60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熊猫、起帆、正泰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bottom"/>
          </w:tcPr>
          <w:p>
            <w:pPr>
              <w:widowControl/>
              <w:jc w:val="left"/>
              <w:rPr>
                <w:rFonts w:ascii="宋体" w:hAnsi="宋体"/>
                <w:b/>
                <w:bCs/>
                <w:kern w:val="0"/>
                <w:sz w:val="18"/>
                <w:szCs w:val="18"/>
              </w:rPr>
            </w:pPr>
            <w:r>
              <w:rPr>
                <w:rFonts w:hint="eastAsia" w:ascii="宋体" w:hAnsi="宋体"/>
                <w:b/>
                <w:bCs/>
                <w:kern w:val="0"/>
                <w:sz w:val="18"/>
                <w:szCs w:val="18"/>
              </w:rPr>
              <w:t>二、生物基础实验室2（分子主题）三楼</w:t>
            </w:r>
          </w:p>
        </w:tc>
        <w:tc>
          <w:tcPr>
            <w:tcW w:w="556" w:type="dxa"/>
            <w:vAlign w:val="center"/>
          </w:tcPr>
          <w:p>
            <w:pPr>
              <w:widowControl/>
              <w:jc w:val="center"/>
              <w:rPr>
                <w:rFonts w:ascii="宋体" w:hAnsi="宋体"/>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bottom"/>
          </w:tcPr>
          <w:p>
            <w:pPr>
              <w:widowControl/>
              <w:jc w:val="center"/>
              <w:rPr>
                <w:rFonts w:ascii="宋体" w:hAnsi="宋体"/>
                <w:b/>
                <w:bCs/>
                <w:kern w:val="0"/>
                <w:sz w:val="18"/>
                <w:szCs w:val="18"/>
              </w:rPr>
            </w:pPr>
            <w:r>
              <w:rPr>
                <w:rFonts w:hint="eastAsia" w:ascii="宋体" w:hAnsi="宋体"/>
                <w:b/>
                <w:bCs/>
                <w:kern w:val="0"/>
                <w:sz w:val="18"/>
                <w:szCs w:val="18"/>
              </w:rPr>
              <w:t>（一）实验室基础仪器设备</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收纳矮书架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800×400×700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双层设计，分2列空格，共4分格；</w:t>
            </w:r>
            <w:r>
              <w:rPr>
                <w:rFonts w:hint="eastAsia" w:ascii="宋体" w:hAnsi="宋体"/>
                <w:kern w:val="0"/>
                <w:sz w:val="18"/>
                <w:szCs w:val="18"/>
              </w:rPr>
              <w:br w:type="textWrapping"/>
            </w:r>
            <w:r>
              <w:rPr>
                <w:rFonts w:hint="eastAsia" w:ascii="宋体" w:hAnsi="宋体"/>
                <w:kern w:val="0"/>
                <w:sz w:val="18"/>
                <w:szCs w:val="18"/>
              </w:rPr>
              <w:t>1.基材：采用优质E1板材，桌体台面采用2mm厚封边条、柜体侧板（除与地面接触边）、柜体顶板、门板、抽面板等可见处采用2mm厚封边条，其余部位封1mm封边条。板件之间采用三合一连接和木梢的方式连接固定。</w:t>
            </w:r>
            <w:r>
              <w:rPr>
                <w:rFonts w:hint="eastAsia" w:ascii="宋体" w:hAnsi="宋体"/>
                <w:kern w:val="0"/>
                <w:sz w:val="18"/>
                <w:szCs w:val="18"/>
              </w:rPr>
              <w:br w:type="textWrapping"/>
            </w:r>
            <w:r>
              <w:rPr>
                <w:rFonts w:hint="eastAsia" w:ascii="宋体" w:hAnsi="宋体"/>
                <w:kern w:val="0"/>
                <w:sz w:val="18"/>
                <w:szCs w:val="18"/>
              </w:rPr>
              <w:t>2.封边：采用封边条厚度2.5MM的优质同色PVC封边条，无起花，异色边缘修饰平整、光滑。</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后墙储存矮柜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1000×500×1000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全钢结构。</w:t>
            </w:r>
          </w:p>
          <w:p>
            <w:pPr>
              <w:widowControl/>
              <w:jc w:val="left"/>
              <w:rPr>
                <w:rFonts w:ascii="宋体" w:hAnsi="宋体"/>
                <w:kern w:val="0"/>
                <w:sz w:val="18"/>
                <w:szCs w:val="18"/>
              </w:rPr>
            </w:pPr>
            <w:r>
              <w:rPr>
                <w:rFonts w:hint="eastAsia" w:ascii="宋体" w:hAnsi="宋体"/>
                <w:kern w:val="0"/>
                <w:sz w:val="18"/>
                <w:szCs w:val="18"/>
              </w:rPr>
              <w:t>1.框架：采用1.2㎜厚镀锌钢板裁剪折弯后满焊点焊接，表面经EPOXY喷涂处理，连接件采用不锈钢连接件。</w:t>
            </w:r>
          </w:p>
          <w:p>
            <w:pPr>
              <w:widowControl/>
              <w:jc w:val="left"/>
              <w:rPr>
                <w:rFonts w:ascii="宋体" w:hAnsi="宋体"/>
                <w:kern w:val="0"/>
                <w:sz w:val="18"/>
                <w:szCs w:val="18"/>
              </w:rPr>
            </w:pPr>
            <w:r>
              <w:rPr>
                <w:rFonts w:hint="eastAsia" w:ascii="宋体" w:hAnsi="宋体"/>
                <w:kern w:val="0"/>
                <w:sz w:val="18"/>
                <w:szCs w:val="18"/>
              </w:rPr>
              <w:t>2.柜体：侧板、背板采用采用1.2㎜厚镀锌钢板裁剪折弯后满焊点焊接，表面经EPOXY喷涂处理，连接件采用不锈钢连接件。</w:t>
            </w:r>
          </w:p>
          <w:p>
            <w:pPr>
              <w:widowControl/>
              <w:jc w:val="left"/>
              <w:rPr>
                <w:rFonts w:ascii="宋体" w:hAnsi="宋体"/>
                <w:kern w:val="0"/>
                <w:sz w:val="18"/>
                <w:szCs w:val="18"/>
              </w:rPr>
            </w:pPr>
            <w:r>
              <w:rPr>
                <w:rFonts w:hint="eastAsia" w:ascii="宋体" w:hAnsi="宋体"/>
                <w:kern w:val="0"/>
                <w:sz w:val="18"/>
                <w:szCs w:val="18"/>
              </w:rPr>
              <w:t>3.柜门：采用1.2㎜厚镀锌钢板裁剪折弯后满焊点焊接，表面经EPOXY喷涂处理，对开门式设计。</w:t>
            </w:r>
          </w:p>
          <w:p>
            <w:pPr>
              <w:widowControl/>
              <w:jc w:val="left"/>
              <w:rPr>
                <w:rFonts w:ascii="宋体" w:hAnsi="宋体"/>
                <w:kern w:val="0"/>
                <w:sz w:val="18"/>
                <w:szCs w:val="18"/>
              </w:rPr>
            </w:pPr>
            <w:r>
              <w:rPr>
                <w:rFonts w:hint="eastAsia" w:ascii="宋体" w:hAnsi="宋体"/>
                <w:kern w:val="0"/>
                <w:sz w:val="18"/>
                <w:szCs w:val="18"/>
              </w:rPr>
              <w:t>4.拉手：采用SUS304不锈钢C型拉手。</w:t>
            </w:r>
          </w:p>
          <w:p>
            <w:pPr>
              <w:widowControl/>
              <w:jc w:val="left"/>
              <w:rPr>
                <w:rFonts w:ascii="宋体" w:hAnsi="宋体"/>
                <w:kern w:val="0"/>
                <w:sz w:val="18"/>
                <w:szCs w:val="18"/>
              </w:rPr>
            </w:pPr>
            <w:r>
              <w:rPr>
                <w:rFonts w:hint="eastAsia" w:ascii="宋体" w:hAnsi="宋体"/>
                <w:kern w:val="0"/>
                <w:sz w:val="18"/>
                <w:szCs w:val="18"/>
              </w:rPr>
              <w:t>5.铰链：采用定位铰链或2mm不锈钢合页。</w:t>
            </w:r>
          </w:p>
          <w:p>
            <w:pPr>
              <w:widowControl/>
              <w:jc w:val="left"/>
              <w:rPr>
                <w:rFonts w:ascii="宋体" w:hAnsi="宋体"/>
                <w:kern w:val="0"/>
                <w:sz w:val="18"/>
                <w:szCs w:val="18"/>
              </w:rPr>
            </w:pPr>
            <w:r>
              <w:rPr>
                <w:rFonts w:hint="eastAsia" w:ascii="宋体" w:hAnsi="宋体"/>
                <w:kern w:val="0"/>
                <w:sz w:val="18"/>
                <w:szCs w:val="18"/>
              </w:rPr>
              <w:t>6.调整脚：采用ABS新料模具一体成型的承重型可调节地脚，螺丝SUS304不锈钢材质。</w:t>
            </w:r>
          </w:p>
          <w:p>
            <w:pPr>
              <w:widowControl/>
              <w:jc w:val="left"/>
              <w:rPr>
                <w:rFonts w:ascii="宋体" w:hAnsi="宋体"/>
                <w:kern w:val="0"/>
                <w:sz w:val="18"/>
                <w:szCs w:val="18"/>
              </w:rPr>
            </w:pPr>
            <w:r>
              <w:rPr>
                <w:rFonts w:hint="eastAsia" w:ascii="宋体" w:hAnsi="宋体"/>
                <w:kern w:val="0"/>
                <w:sz w:val="18"/>
                <w:szCs w:val="18"/>
              </w:rPr>
              <w:t>7.顶面采用采用12.7mm厚抗倍特板制作，边沿镶边加厚至25mm厚；</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双目电光源显微镜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 放大倍率：40X—1000X。</w:t>
            </w:r>
            <w:r>
              <w:rPr>
                <w:rFonts w:hint="eastAsia" w:ascii="宋体" w:hAnsi="宋体"/>
                <w:kern w:val="0"/>
                <w:sz w:val="18"/>
                <w:szCs w:val="18"/>
              </w:rPr>
              <w:br w:type="textWrapping"/>
            </w:r>
            <w:r>
              <w:rPr>
                <w:rFonts w:hint="eastAsia" w:ascii="宋体" w:hAnsi="宋体"/>
                <w:kern w:val="0"/>
                <w:sz w:val="18"/>
                <w:szCs w:val="18"/>
              </w:rPr>
              <w:t>2.目镜：广角目镜WF10X/18mm  推拉式双目观察筒，45度倾斜，360度旋转，视度可调。</w:t>
            </w:r>
            <w:r>
              <w:rPr>
                <w:rFonts w:hint="eastAsia" w:ascii="宋体" w:hAnsi="宋体"/>
                <w:kern w:val="0"/>
                <w:sz w:val="18"/>
                <w:szCs w:val="18"/>
              </w:rPr>
              <w:br w:type="textWrapping"/>
            </w:r>
            <w:r>
              <w:rPr>
                <w:rFonts w:hint="eastAsia" w:ascii="宋体" w:hAnsi="宋体"/>
                <w:kern w:val="0"/>
                <w:sz w:val="18"/>
                <w:szCs w:val="18"/>
              </w:rPr>
              <w:t>3.物镜：消色差物镜4X，10X，40X（弹簧）100X（油/弹簧）四孔转换器为使用不同倍率的物镜提供了方便。</w:t>
            </w:r>
            <w:r>
              <w:rPr>
                <w:rFonts w:hint="eastAsia" w:ascii="宋体" w:hAnsi="宋体"/>
                <w:kern w:val="0"/>
                <w:sz w:val="18"/>
                <w:szCs w:val="18"/>
              </w:rPr>
              <w:br w:type="textWrapping"/>
            </w:r>
            <w:r>
              <w:rPr>
                <w:rFonts w:hint="eastAsia" w:ascii="宋体" w:hAnsi="宋体"/>
                <w:kern w:val="0"/>
                <w:sz w:val="18"/>
                <w:szCs w:val="18"/>
              </w:rPr>
              <w:t>4.弯臂机架，金属平台可升降；金属平台，台面110mmX125mm。</w:t>
            </w:r>
            <w:r>
              <w:rPr>
                <w:rFonts w:hint="eastAsia" w:ascii="宋体" w:hAnsi="宋体"/>
                <w:kern w:val="0"/>
                <w:sz w:val="18"/>
                <w:szCs w:val="18"/>
              </w:rPr>
              <w:br w:type="textWrapping"/>
            </w:r>
            <w:r>
              <w:rPr>
                <w:rFonts w:hint="eastAsia" w:ascii="宋体" w:hAnsi="宋体"/>
                <w:kern w:val="0"/>
                <w:sz w:val="18"/>
                <w:szCs w:val="18"/>
              </w:rPr>
              <w:t>5.阿贝式聚光镜，数值孔径N.A=1.25，可变光栏，带滤色镜托架，内置LED电光源，使用寿命长。</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6</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学生用生物显微镜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单目学生用反光镜电光源可互换生物显微镜性能特点：目镜：WF10X18MM目镜 带指针物镜：4X，10X，40X消色差物镜镜筒：45度倾斜，360度旋转转换器：三孔转换器，保证齐焦载物台：110X120MM聚光镜：N.A0.65光源：LED高亮度光源，可与反光镜互换.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14</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实物投影仪</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510×410×120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整机≥220倍放大,图像特技：正负片、冻结、旋转、标题、同屏对比、镜像、文本/图像、黑白/彩页.图像存储：有.同屏对比：有.USB2.0接口： 有(提供接口软件或附件，可供用户计算机程序实时调用展示台上实物摄像图像，并能控制展台物理操作).RGB输入输出：DB15FLC 各 2组.RGB输出分辨率：XGA、SXGA、WXGA、720P 16:9.镜头输出像素：320万.RS232接口：有.音频输入：3.5mm插口3组.音频输出：3.5mm插口1组.视频输入：RCA 1组.视频输出：RCA 1组,S-VIDEO 1组.麦克风输入： 麦克风插座.HDMI输入： 无.HDMI输出: 无.SD卡储存：不支持.侧灯： 2个1.0W LED.红,蓝增益： 有.亮度调节： 有.投影机开关/信号/输入切换： RS232控制.安全锁：有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鸿合、希沃、峰宁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电脑与多媒体设备调试</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品牌机，≥21英寸，宽视角一体机,全高清1920X1080，具有防眩光涂层，立式底座，第七代英特尔酷睿I3-7100U处理器，≥4GB DDR4 2400MHZ 内存/500G 5400RPM 硬盘，intel  HD Graphic 显卡/带无线及蓝牙功能，原厂三年免费质保；与原投影仪相连并进行调试</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联想、惠普、戴尔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立式空调</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5P及以上</w:t>
            </w:r>
            <w:r>
              <w:rPr>
                <w:rFonts w:hint="eastAsia" w:ascii="宋体" w:hAnsi="宋体"/>
                <w:kern w:val="0"/>
                <w:sz w:val="18"/>
                <w:szCs w:val="18"/>
              </w:rPr>
              <w:br w:type="textWrapping"/>
            </w:r>
            <w:r>
              <w:rPr>
                <w:rFonts w:hint="eastAsia" w:ascii="宋体" w:hAnsi="宋体"/>
                <w:kern w:val="0"/>
                <w:sz w:val="18"/>
                <w:szCs w:val="18"/>
              </w:rPr>
              <w:t>冷暖</w:t>
            </w:r>
            <w:r>
              <w:rPr>
                <w:rFonts w:hint="eastAsia" w:ascii="宋体" w:hAnsi="宋体"/>
                <w:kern w:val="0"/>
                <w:sz w:val="18"/>
                <w:szCs w:val="18"/>
              </w:rPr>
              <w:br w:type="textWrapping"/>
            </w:r>
            <w:r>
              <w:rPr>
                <w:rFonts w:hint="eastAsia" w:ascii="宋体" w:hAnsi="宋体"/>
                <w:kern w:val="0"/>
                <w:sz w:val="18"/>
                <w:szCs w:val="18"/>
              </w:rPr>
              <w:t>定频</w:t>
            </w:r>
            <w:r>
              <w:rPr>
                <w:rFonts w:hint="eastAsia" w:ascii="宋体" w:hAnsi="宋体"/>
                <w:kern w:val="0"/>
                <w:sz w:val="18"/>
                <w:szCs w:val="18"/>
              </w:rPr>
              <w:br w:type="textWrapping"/>
            </w:r>
            <w:r>
              <w:rPr>
                <w:rFonts w:hint="eastAsia" w:ascii="宋体" w:hAnsi="宋体"/>
                <w:kern w:val="0"/>
                <w:sz w:val="18"/>
                <w:szCs w:val="18"/>
              </w:rPr>
              <w:t>电辅加热</w:t>
            </w:r>
            <w:r>
              <w:rPr>
                <w:rFonts w:hint="eastAsia" w:ascii="宋体" w:hAnsi="宋体"/>
                <w:kern w:val="0"/>
                <w:sz w:val="18"/>
                <w:szCs w:val="18"/>
              </w:rPr>
              <w:br w:type="textWrapping"/>
            </w:r>
            <w:r>
              <w:rPr>
                <w:rFonts w:hint="eastAsia" w:ascii="宋体" w:hAnsi="宋体"/>
                <w:kern w:val="0"/>
                <w:sz w:val="18"/>
                <w:szCs w:val="18"/>
              </w:rPr>
              <w:t>制冷量(W)：12000</w:t>
            </w:r>
            <w:r>
              <w:rPr>
                <w:rFonts w:hint="eastAsia" w:ascii="宋体" w:hAnsi="宋体"/>
                <w:kern w:val="0"/>
                <w:sz w:val="18"/>
                <w:szCs w:val="18"/>
              </w:rPr>
              <w:br w:type="textWrapping"/>
            </w:r>
            <w:r>
              <w:rPr>
                <w:rFonts w:hint="eastAsia" w:ascii="宋体" w:hAnsi="宋体"/>
                <w:kern w:val="0"/>
                <w:sz w:val="18"/>
                <w:szCs w:val="18"/>
              </w:rPr>
              <w:t>制冷功率(W)：3680</w:t>
            </w:r>
            <w:r>
              <w:rPr>
                <w:rFonts w:hint="eastAsia" w:ascii="宋体" w:hAnsi="宋体"/>
                <w:kern w:val="0"/>
                <w:sz w:val="18"/>
                <w:szCs w:val="18"/>
              </w:rPr>
              <w:br w:type="textWrapping"/>
            </w:r>
            <w:r>
              <w:rPr>
                <w:rFonts w:hint="eastAsia" w:ascii="宋体" w:hAnsi="宋体"/>
                <w:kern w:val="0"/>
                <w:sz w:val="18"/>
                <w:szCs w:val="18"/>
              </w:rPr>
              <w:t>制热量(W)：14000</w:t>
            </w:r>
            <w:r>
              <w:rPr>
                <w:rFonts w:hint="eastAsia" w:ascii="宋体" w:hAnsi="宋体"/>
                <w:kern w:val="0"/>
                <w:sz w:val="18"/>
                <w:szCs w:val="18"/>
              </w:rPr>
              <w:br w:type="textWrapping"/>
            </w:r>
            <w:r>
              <w:rPr>
                <w:rFonts w:hint="eastAsia" w:ascii="宋体" w:hAnsi="宋体"/>
                <w:kern w:val="0"/>
                <w:sz w:val="18"/>
                <w:szCs w:val="18"/>
              </w:rPr>
              <w:t>制热功率(W)：3950</w:t>
            </w:r>
            <w:r>
              <w:rPr>
                <w:rFonts w:hint="eastAsia" w:ascii="宋体" w:hAnsi="宋体"/>
                <w:kern w:val="0"/>
                <w:sz w:val="18"/>
                <w:szCs w:val="18"/>
              </w:rPr>
              <w:br w:type="textWrapping"/>
            </w:r>
            <w:r>
              <w:rPr>
                <w:rFonts w:hint="eastAsia" w:ascii="宋体" w:hAnsi="宋体"/>
                <w:kern w:val="0"/>
                <w:sz w:val="18"/>
                <w:szCs w:val="18"/>
              </w:rPr>
              <w:t>电辅加热功率(W)：3500</w:t>
            </w:r>
            <w:r>
              <w:rPr>
                <w:rFonts w:hint="eastAsia" w:ascii="宋体" w:hAnsi="宋体"/>
                <w:kern w:val="0"/>
                <w:sz w:val="18"/>
                <w:szCs w:val="18"/>
              </w:rPr>
              <w:br w:type="textWrapping"/>
            </w:r>
            <w:r>
              <w:rPr>
                <w:rFonts w:hint="eastAsia" w:ascii="宋体" w:hAnsi="宋体"/>
                <w:kern w:val="0"/>
                <w:sz w:val="18"/>
                <w:szCs w:val="18"/>
              </w:rPr>
              <w:t>内机噪音(dB(A)：51/46/41</w:t>
            </w:r>
            <w:r>
              <w:rPr>
                <w:rFonts w:hint="eastAsia" w:ascii="宋体" w:hAnsi="宋体"/>
                <w:kern w:val="0"/>
                <w:sz w:val="18"/>
                <w:szCs w:val="18"/>
              </w:rPr>
              <w:br w:type="textWrapping"/>
            </w:r>
            <w:r>
              <w:rPr>
                <w:rFonts w:hint="eastAsia" w:ascii="宋体" w:hAnsi="宋体"/>
                <w:kern w:val="0"/>
                <w:sz w:val="18"/>
                <w:szCs w:val="18"/>
              </w:rPr>
              <w:t>外机噪音(dB(A)：58</w:t>
            </w:r>
            <w:r>
              <w:rPr>
                <w:rFonts w:hint="eastAsia" w:ascii="宋体" w:hAnsi="宋体"/>
                <w:kern w:val="0"/>
                <w:sz w:val="18"/>
                <w:szCs w:val="18"/>
              </w:rPr>
              <w:br w:type="textWrapping"/>
            </w:r>
            <w:r>
              <w:rPr>
                <w:rFonts w:hint="eastAsia" w:ascii="宋体" w:hAnsi="宋体"/>
                <w:kern w:val="0"/>
                <w:sz w:val="18"/>
                <w:szCs w:val="18"/>
              </w:rPr>
              <w:t>定频机能效比：3.19</w:t>
            </w:r>
            <w:r>
              <w:rPr>
                <w:rFonts w:hint="eastAsia" w:ascii="宋体" w:hAnsi="宋体"/>
                <w:kern w:val="0"/>
                <w:sz w:val="18"/>
                <w:szCs w:val="18"/>
              </w:rPr>
              <w:br w:type="textWrapping"/>
            </w:r>
            <w:r>
              <w:rPr>
                <w:rFonts w:hint="eastAsia" w:ascii="宋体" w:hAnsi="宋体"/>
                <w:kern w:val="0"/>
                <w:sz w:val="18"/>
                <w:szCs w:val="18"/>
              </w:rPr>
              <w:t>循环风量(m3/h)：2000</w:t>
            </w:r>
            <w:r>
              <w:rPr>
                <w:rFonts w:hint="eastAsia" w:ascii="宋体" w:hAnsi="宋体"/>
                <w:kern w:val="0"/>
                <w:sz w:val="18"/>
                <w:szCs w:val="18"/>
              </w:rPr>
              <w:br w:type="textWrapping"/>
            </w:r>
            <w:r>
              <w:rPr>
                <w:rFonts w:hint="eastAsia" w:ascii="宋体" w:hAnsi="宋体"/>
                <w:kern w:val="0"/>
                <w:sz w:val="18"/>
                <w:szCs w:val="18"/>
              </w:rPr>
              <w:t>上下/左右扫风</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空调辅材及安装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包含：连机铜管、电源线、PVC排水管、吊杆、支架。人工费、安装费等辅助。</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bottom"/>
          </w:tcPr>
          <w:p>
            <w:pPr>
              <w:widowControl/>
              <w:jc w:val="center"/>
              <w:rPr>
                <w:rFonts w:ascii="宋体" w:hAnsi="宋体"/>
                <w:b/>
                <w:bCs/>
                <w:kern w:val="0"/>
                <w:sz w:val="18"/>
                <w:szCs w:val="18"/>
              </w:rPr>
            </w:pPr>
            <w:r>
              <w:rPr>
                <w:rFonts w:hint="eastAsia" w:ascii="宋体" w:hAnsi="宋体"/>
                <w:b/>
                <w:bCs/>
                <w:kern w:val="0"/>
                <w:sz w:val="18"/>
                <w:szCs w:val="18"/>
              </w:rPr>
              <w:t>（二）实验室主体修复及文化展示</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生物文化展示展板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要求结构符合整体设计理念，符合整体生物课程基地特色展示构造，内容要求满足生物基础实验室课程设计要求，材质采用高强度雪弗板，贴高清写真画面。含设计、安装。尺寸不小于600*800mm；</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桌体修复及更新配件安装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满足学校原有实验桌的修复更新人工及配件安装</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局部乳胶漆涂装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内容包括局部墙面修复、底面刮灰、面涂白色或彩色涂料，二底二面。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电路系统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空调电线铺设及穿管布线等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60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熊猫、起帆、正泰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bottom"/>
          </w:tcPr>
          <w:p>
            <w:pPr>
              <w:widowControl/>
              <w:jc w:val="left"/>
              <w:rPr>
                <w:rFonts w:ascii="宋体" w:hAnsi="宋体"/>
                <w:b/>
                <w:bCs/>
                <w:kern w:val="0"/>
                <w:sz w:val="18"/>
                <w:szCs w:val="18"/>
              </w:rPr>
            </w:pPr>
            <w:r>
              <w:rPr>
                <w:rFonts w:hint="eastAsia" w:ascii="宋体" w:hAnsi="宋体"/>
                <w:b/>
                <w:bCs/>
                <w:kern w:val="0"/>
                <w:sz w:val="18"/>
                <w:szCs w:val="18"/>
              </w:rPr>
              <w:t>三、生物教师发展中心(三楼西)</w:t>
            </w: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教师办公桌椅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1500×700×800</w:t>
            </w:r>
          </w:p>
        </w:tc>
        <w:tc>
          <w:tcPr>
            <w:tcW w:w="4784" w:type="dxa"/>
            <w:vAlign w:val="center"/>
          </w:tcPr>
          <w:p>
            <w:pPr>
              <w:widowControl/>
              <w:rPr>
                <w:rFonts w:ascii="宋体" w:hAnsi="宋体"/>
                <w:kern w:val="0"/>
                <w:sz w:val="18"/>
                <w:szCs w:val="18"/>
              </w:rPr>
            </w:pPr>
            <w:r>
              <w:rPr>
                <w:rFonts w:hint="eastAsia" w:ascii="宋体" w:hAnsi="宋体"/>
                <w:kern w:val="0"/>
                <w:sz w:val="18"/>
                <w:szCs w:val="18"/>
              </w:rPr>
              <w:t>电镀铝合金桌脚结构，桌面采用优质防火板，基材采用25mm厚E1级三聚氰胺板，可见截面均经过PVC封边，无死角，具有耐磨、耐刮、抗静电等特点，优质五金件。包含配套全钢活动柜一组。</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教师办公椅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背靠网布中背设计，五星尼龙脚，优质气压棒升降，满足教师办公需求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把</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智慧平板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WLAN + Cellular；32G；高度：240毫米；宽度：169.5毫米；厚度：61毫米；重量：437克；显示屏：Retina显示屏；9.7 英寸 (对角线) LED 背光 Multi-Touch 显示屏，采用 IPS 技术；2048 x 1536 像素分辨率，264 ppi；采用防油渍防指纹涂层；64 位架构的 A8X 芯片；M8 运动协处理器</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华为、苹果、三星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彩色打印一体机</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类型：彩色激光</w:t>
            </w:r>
            <w:r>
              <w:rPr>
                <w:rFonts w:hint="eastAsia" w:ascii="宋体" w:hAnsi="宋体"/>
                <w:kern w:val="0"/>
                <w:sz w:val="18"/>
                <w:szCs w:val="18"/>
              </w:rPr>
              <w:br w:type="textWrapping"/>
            </w:r>
            <w:r>
              <w:rPr>
                <w:rFonts w:hint="eastAsia" w:ascii="宋体" w:hAnsi="宋体"/>
                <w:kern w:val="0"/>
                <w:sz w:val="18"/>
                <w:szCs w:val="18"/>
              </w:rPr>
              <w:t>多功能：打印 扫描 复印</w:t>
            </w:r>
            <w:r>
              <w:rPr>
                <w:rFonts w:hint="eastAsia" w:ascii="宋体" w:hAnsi="宋体"/>
                <w:kern w:val="0"/>
                <w:sz w:val="18"/>
                <w:szCs w:val="18"/>
              </w:rPr>
              <w:br w:type="textWrapping"/>
            </w:r>
            <w:r>
              <w:rPr>
                <w:rFonts w:hint="eastAsia" w:ascii="宋体" w:hAnsi="宋体"/>
                <w:kern w:val="0"/>
                <w:sz w:val="18"/>
                <w:szCs w:val="18"/>
              </w:rPr>
              <w:t>打印幅面：A4 幅面</w:t>
            </w:r>
            <w:r>
              <w:rPr>
                <w:rFonts w:hint="eastAsia" w:ascii="宋体" w:hAnsi="宋体"/>
                <w:kern w:val="0"/>
                <w:sz w:val="18"/>
                <w:szCs w:val="18"/>
              </w:rPr>
              <w:br w:type="textWrapping"/>
            </w:r>
            <w:r>
              <w:rPr>
                <w:rFonts w:hint="eastAsia" w:ascii="宋体" w:hAnsi="宋体"/>
                <w:kern w:val="0"/>
                <w:sz w:val="18"/>
                <w:szCs w:val="18"/>
              </w:rPr>
              <w:t>打印速度：≥15页/分</w:t>
            </w:r>
            <w:r>
              <w:rPr>
                <w:rFonts w:hint="eastAsia" w:ascii="宋体" w:hAnsi="宋体"/>
                <w:kern w:val="0"/>
                <w:sz w:val="18"/>
                <w:szCs w:val="18"/>
              </w:rPr>
              <w:br w:type="textWrapping"/>
            </w:r>
            <w:r>
              <w:rPr>
                <w:rFonts w:hint="eastAsia" w:ascii="宋体" w:hAnsi="宋体"/>
                <w:kern w:val="0"/>
                <w:sz w:val="18"/>
                <w:szCs w:val="18"/>
              </w:rPr>
              <w:t>分辨率: ≥600*600dpi</w:t>
            </w:r>
            <w:r>
              <w:rPr>
                <w:rFonts w:hint="eastAsia" w:ascii="宋体" w:hAnsi="宋体"/>
                <w:kern w:val="0"/>
                <w:sz w:val="18"/>
                <w:szCs w:val="18"/>
              </w:rPr>
              <w:br w:type="textWrapping"/>
            </w:r>
            <w:r>
              <w:rPr>
                <w:rFonts w:hint="eastAsia" w:ascii="宋体" w:hAnsi="宋体"/>
                <w:kern w:val="0"/>
                <w:sz w:val="18"/>
                <w:szCs w:val="18"/>
              </w:rPr>
              <w:t>扫描分辨率: ≥300dpi(ADF);1200dpi(平板)</w:t>
            </w:r>
            <w:r>
              <w:rPr>
                <w:rFonts w:hint="eastAsia" w:ascii="宋体" w:hAnsi="宋体"/>
                <w:kern w:val="0"/>
                <w:sz w:val="18"/>
                <w:szCs w:val="18"/>
              </w:rPr>
              <w:br w:type="textWrapping"/>
            </w:r>
            <w:r>
              <w:rPr>
                <w:rFonts w:hint="eastAsia" w:ascii="宋体" w:hAnsi="宋体"/>
                <w:kern w:val="0"/>
                <w:sz w:val="18"/>
                <w:szCs w:val="18"/>
              </w:rPr>
              <w:t>复印分辨率: ≥600*600dpi</w:t>
            </w:r>
            <w:r>
              <w:rPr>
                <w:rFonts w:hint="eastAsia" w:ascii="宋体" w:hAnsi="宋体"/>
                <w:kern w:val="0"/>
                <w:sz w:val="18"/>
                <w:szCs w:val="18"/>
              </w:rPr>
              <w:br w:type="textWrapping"/>
            </w:r>
            <w:r>
              <w:rPr>
                <w:rFonts w:hint="eastAsia" w:ascii="宋体" w:hAnsi="宋体"/>
                <w:kern w:val="0"/>
                <w:sz w:val="18"/>
                <w:szCs w:val="18"/>
              </w:rPr>
              <w:t>最大复印页数:高达99份</w:t>
            </w:r>
            <w:r>
              <w:rPr>
                <w:rFonts w:hint="eastAsia" w:ascii="宋体" w:hAnsi="宋体"/>
                <w:kern w:val="0"/>
                <w:sz w:val="18"/>
                <w:szCs w:val="18"/>
              </w:rPr>
              <w:br w:type="textWrapping"/>
            </w:r>
            <w:r>
              <w:rPr>
                <w:rFonts w:hint="eastAsia" w:ascii="宋体" w:hAnsi="宋体"/>
                <w:kern w:val="0"/>
                <w:sz w:val="18"/>
                <w:szCs w:val="18"/>
              </w:rPr>
              <w:t>支持纸张尺寸：A4;A5(L);A5(P);A6;B5;B6</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惠普、爱普生、夏普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生物教学专业影像机</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尺寸（mm）：≥144.0×110.5×74.8毫米</w:t>
            </w:r>
            <w:r>
              <w:rPr>
                <w:rFonts w:hint="eastAsia" w:ascii="宋体" w:hAnsi="宋体"/>
                <w:kern w:val="0"/>
                <w:sz w:val="18"/>
                <w:szCs w:val="18"/>
              </w:rPr>
              <w:br w:type="textWrapping"/>
            </w:r>
            <w:r>
              <w:rPr>
                <w:rFonts w:hint="eastAsia" w:ascii="宋体" w:hAnsi="宋体"/>
                <w:kern w:val="0"/>
                <w:sz w:val="18"/>
                <w:szCs w:val="18"/>
              </w:rPr>
              <w:t>镜头：EF 24-105mm f/4L IS II USM有效像素：≥2600万像素</w:t>
            </w:r>
            <w:r>
              <w:rPr>
                <w:rFonts w:hint="eastAsia" w:ascii="宋体" w:hAnsi="宋体"/>
                <w:kern w:val="0"/>
                <w:sz w:val="18"/>
                <w:szCs w:val="18"/>
              </w:rPr>
              <w:br w:type="textWrapping"/>
            </w:r>
            <w:r>
              <w:rPr>
                <w:rFonts w:hint="eastAsia" w:ascii="宋体" w:hAnsi="宋体"/>
                <w:kern w:val="0"/>
                <w:sz w:val="18"/>
                <w:szCs w:val="18"/>
              </w:rPr>
              <w:t>传感器类型：CMOS</w:t>
            </w:r>
            <w:r>
              <w:rPr>
                <w:rFonts w:hint="eastAsia" w:ascii="宋体" w:hAnsi="宋体"/>
                <w:kern w:val="0"/>
                <w:sz w:val="18"/>
                <w:szCs w:val="18"/>
              </w:rPr>
              <w:br w:type="textWrapping"/>
            </w:r>
            <w:r>
              <w:rPr>
                <w:rFonts w:hint="eastAsia" w:ascii="宋体" w:hAnsi="宋体"/>
                <w:kern w:val="0"/>
                <w:sz w:val="18"/>
                <w:szCs w:val="18"/>
              </w:rPr>
              <w:t>传感器尺寸：全画幅</w:t>
            </w:r>
            <w:r>
              <w:rPr>
                <w:rFonts w:hint="eastAsia" w:ascii="宋体" w:hAnsi="宋体"/>
                <w:kern w:val="0"/>
                <w:sz w:val="18"/>
                <w:szCs w:val="18"/>
              </w:rPr>
              <w:br w:type="textWrapping"/>
            </w:r>
            <w:r>
              <w:rPr>
                <w:rFonts w:hint="eastAsia" w:ascii="宋体" w:hAnsi="宋体"/>
                <w:kern w:val="0"/>
                <w:sz w:val="18"/>
                <w:szCs w:val="18"/>
              </w:rPr>
              <w:t>高清摄像：全高清</w:t>
            </w:r>
            <w:r>
              <w:rPr>
                <w:rFonts w:hint="eastAsia" w:ascii="宋体" w:hAnsi="宋体"/>
                <w:kern w:val="0"/>
                <w:sz w:val="18"/>
                <w:szCs w:val="18"/>
              </w:rPr>
              <w:br w:type="textWrapping"/>
            </w:r>
            <w:r>
              <w:rPr>
                <w:rFonts w:hint="eastAsia" w:ascii="宋体" w:hAnsi="宋体"/>
                <w:kern w:val="0"/>
                <w:sz w:val="18"/>
                <w:szCs w:val="18"/>
              </w:rPr>
              <w:t>液晶屏尺寸：≥3.0英寸</w:t>
            </w:r>
            <w:r>
              <w:rPr>
                <w:rFonts w:hint="eastAsia" w:ascii="宋体" w:hAnsi="宋体"/>
                <w:kern w:val="0"/>
                <w:sz w:val="18"/>
                <w:szCs w:val="18"/>
              </w:rPr>
              <w:br w:type="textWrapping"/>
            </w:r>
            <w:r>
              <w:rPr>
                <w:rFonts w:hint="eastAsia" w:ascii="宋体" w:hAnsi="宋体"/>
                <w:kern w:val="0"/>
                <w:sz w:val="18"/>
                <w:szCs w:val="18"/>
              </w:rPr>
              <w:t>液晶屏像素：≥100万点</w:t>
            </w:r>
            <w:r>
              <w:rPr>
                <w:rFonts w:hint="eastAsia" w:ascii="宋体" w:hAnsi="宋体"/>
                <w:kern w:val="0"/>
                <w:sz w:val="18"/>
                <w:szCs w:val="18"/>
              </w:rPr>
              <w:br w:type="textWrapping"/>
            </w:r>
            <w:r>
              <w:rPr>
                <w:rFonts w:hint="eastAsia" w:ascii="宋体" w:hAnsi="宋体"/>
                <w:kern w:val="0"/>
                <w:sz w:val="18"/>
                <w:szCs w:val="18"/>
              </w:rPr>
              <w:t>液晶屏类型：旋转屏；触摸屏</w:t>
            </w:r>
            <w:r>
              <w:rPr>
                <w:rFonts w:hint="eastAsia" w:ascii="宋体" w:hAnsi="宋体"/>
                <w:kern w:val="0"/>
                <w:sz w:val="18"/>
                <w:szCs w:val="18"/>
              </w:rPr>
              <w:br w:type="textWrapping"/>
            </w:r>
            <w:r>
              <w:rPr>
                <w:rFonts w:hint="eastAsia" w:ascii="宋体" w:hAnsi="宋体"/>
                <w:kern w:val="0"/>
                <w:sz w:val="18"/>
                <w:szCs w:val="18"/>
              </w:rPr>
              <w:t>取景器类型：光学取景器</w:t>
            </w:r>
            <w:r>
              <w:rPr>
                <w:rFonts w:hint="eastAsia" w:ascii="宋体" w:hAnsi="宋体"/>
                <w:kern w:val="0"/>
                <w:sz w:val="18"/>
                <w:szCs w:val="18"/>
              </w:rPr>
              <w:br w:type="textWrapping"/>
            </w:r>
            <w:r>
              <w:rPr>
                <w:rFonts w:hint="eastAsia" w:ascii="宋体" w:hAnsi="宋体"/>
                <w:kern w:val="0"/>
                <w:sz w:val="18"/>
                <w:szCs w:val="18"/>
              </w:rPr>
              <w:t>滤镜直径：≥76毫米</w:t>
            </w:r>
            <w:r>
              <w:rPr>
                <w:rFonts w:hint="eastAsia" w:ascii="宋体" w:hAnsi="宋体"/>
                <w:kern w:val="0"/>
                <w:sz w:val="18"/>
                <w:szCs w:val="18"/>
              </w:rPr>
              <w:br w:type="textWrapping"/>
            </w:r>
            <w:r>
              <w:rPr>
                <w:rFonts w:hint="eastAsia" w:ascii="宋体" w:hAnsi="宋体"/>
                <w:kern w:val="0"/>
                <w:sz w:val="18"/>
                <w:szCs w:val="18"/>
              </w:rPr>
              <w:t>最大光圈：≥4毫米</w:t>
            </w:r>
            <w:r>
              <w:rPr>
                <w:rFonts w:hint="eastAsia" w:ascii="宋体" w:hAnsi="宋体"/>
                <w:kern w:val="0"/>
                <w:sz w:val="18"/>
                <w:szCs w:val="18"/>
              </w:rPr>
              <w:br w:type="textWrapping"/>
            </w:r>
            <w:r>
              <w:rPr>
                <w:rFonts w:hint="eastAsia" w:ascii="宋体" w:hAnsi="宋体"/>
                <w:kern w:val="0"/>
                <w:sz w:val="18"/>
                <w:szCs w:val="18"/>
              </w:rPr>
              <w:t>曝光控制：白平衡模式</w:t>
            </w:r>
            <w:r>
              <w:rPr>
                <w:rFonts w:hint="eastAsia" w:ascii="宋体" w:hAnsi="宋体"/>
                <w:kern w:val="0"/>
                <w:sz w:val="18"/>
                <w:szCs w:val="18"/>
              </w:rPr>
              <w:br w:type="textWrapping"/>
            </w:r>
            <w:r>
              <w:rPr>
                <w:rFonts w:hint="eastAsia" w:ascii="宋体" w:hAnsi="宋体"/>
                <w:kern w:val="0"/>
                <w:sz w:val="18"/>
                <w:szCs w:val="18"/>
              </w:rPr>
              <w:t>自动、日光、阴影、阴天、钨丝灯、白色荧光灯、闪光灯、用户自定义、色温设置</w:t>
            </w:r>
            <w:r>
              <w:rPr>
                <w:rFonts w:hint="eastAsia" w:ascii="宋体" w:hAnsi="宋体"/>
                <w:kern w:val="0"/>
                <w:sz w:val="18"/>
                <w:szCs w:val="18"/>
              </w:rPr>
              <w:br w:type="textWrapping"/>
            </w:r>
            <w:r>
              <w:rPr>
                <w:rFonts w:hint="eastAsia" w:ascii="宋体" w:hAnsi="宋体"/>
                <w:kern w:val="0"/>
                <w:sz w:val="18"/>
                <w:szCs w:val="18"/>
              </w:rPr>
              <w:t>ISO感光度：ISO 100-40000范围内手动设置、可扩展到L（相当于ISO 50）、H1（相当于ISO 51200）、H2（相当于ISO 102400）</w:t>
            </w:r>
            <w:r>
              <w:rPr>
                <w:rFonts w:hint="eastAsia" w:ascii="宋体" w:hAnsi="宋体"/>
                <w:kern w:val="0"/>
                <w:sz w:val="18"/>
                <w:szCs w:val="18"/>
              </w:rPr>
              <w:br w:type="textWrapping"/>
            </w:r>
            <w:r>
              <w:rPr>
                <w:rFonts w:hint="eastAsia" w:ascii="宋体" w:hAnsi="宋体"/>
                <w:kern w:val="0"/>
                <w:sz w:val="18"/>
                <w:szCs w:val="18"/>
              </w:rPr>
              <w:t>场景模式：肖像；风景；微距；运动；日落；夜景肖像；夜景；手持夜景</w:t>
            </w:r>
            <w:r>
              <w:rPr>
                <w:rFonts w:hint="eastAsia" w:ascii="宋体" w:hAnsi="宋体"/>
                <w:kern w:val="0"/>
                <w:sz w:val="18"/>
                <w:szCs w:val="18"/>
              </w:rPr>
              <w:br w:type="textWrapping"/>
            </w:r>
            <w:r>
              <w:rPr>
                <w:rFonts w:hint="eastAsia" w:ascii="宋体" w:hAnsi="宋体"/>
                <w:kern w:val="0"/>
                <w:sz w:val="18"/>
                <w:szCs w:val="18"/>
              </w:rPr>
              <w:t>连拍速度：最高约6.5张/秒</w:t>
            </w:r>
            <w:r>
              <w:rPr>
                <w:rFonts w:hint="eastAsia" w:ascii="宋体" w:hAnsi="宋体"/>
                <w:kern w:val="0"/>
                <w:sz w:val="18"/>
                <w:szCs w:val="18"/>
              </w:rPr>
              <w:br w:type="textWrapping"/>
            </w:r>
            <w:r>
              <w:rPr>
                <w:rFonts w:hint="eastAsia" w:ascii="宋体" w:hAnsi="宋体"/>
                <w:kern w:val="0"/>
                <w:sz w:val="18"/>
                <w:szCs w:val="18"/>
              </w:rPr>
              <w:t>机身防抖、延时拍摄、遥控拍摄、WiFi连接、NFC、蓝牙传输</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佳能、尼康、索尼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便携式投影仪</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办公培训便携式投影机（选配无线）3200流明 800*600、 标配+120英寸电动遥控幕+15米高清线+吊架</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爱普生、索尼、坚果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无线路由器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jc w:val="left"/>
              <w:rPr>
                <w:rFonts w:ascii="宋体" w:hAnsi="宋体"/>
                <w:kern w:val="0"/>
                <w:sz w:val="18"/>
                <w:szCs w:val="18"/>
              </w:rPr>
            </w:pPr>
            <w:r>
              <w:rPr>
                <w:rFonts w:hint="eastAsia" w:ascii="宋体" w:hAnsi="宋体"/>
                <w:kern w:val="0"/>
                <w:sz w:val="18"/>
                <w:szCs w:val="18"/>
              </w:rPr>
              <w:t>2.4GHz频段；5GHz频段，千兆端口，光纤宽带WIFI穿墙</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普联、华为、小米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生物文化展示展板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要求结构符合整体设计理念，符合整体生物课程基地特色展示构造，内容要求满足生物基础实验室课程设计要求，材质采用高强度雪弗板，贴高清写真画面。含设计、安装。尺寸不小于600*800mm；</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墙面批灰油乳胶漆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双飞粉、环保108胶水、熟胶粉、批灰二遍、打磨二遍、面刷乳胶漆三遍。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原墙面铲除</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原墙面铲除</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墙面防水处理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墙面防水处理。</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雨虹、</w:t>
            </w:r>
            <w:r>
              <w:rPr>
                <w:rFonts w:ascii="宋体" w:hAnsi="宋体"/>
                <w:kern w:val="0"/>
                <w:sz w:val="18"/>
                <w:szCs w:val="18"/>
              </w:rPr>
              <w:t>大禹</w:t>
            </w:r>
            <w:r>
              <w:rPr>
                <w:rFonts w:hint="eastAsia" w:ascii="宋体" w:hAnsi="宋体"/>
                <w:kern w:val="0"/>
                <w:sz w:val="18"/>
                <w:szCs w:val="18"/>
              </w:rPr>
              <w:t>、</w:t>
            </w:r>
            <w:r>
              <w:rPr>
                <w:rFonts w:ascii="宋体" w:hAnsi="宋体"/>
                <w:kern w:val="0"/>
                <w:sz w:val="18"/>
                <w:szCs w:val="18"/>
              </w:rPr>
              <w:t>德高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bottom"/>
          </w:tcPr>
          <w:p>
            <w:pPr>
              <w:widowControl/>
              <w:jc w:val="left"/>
              <w:rPr>
                <w:rFonts w:ascii="宋体" w:hAnsi="宋体"/>
                <w:b/>
                <w:bCs/>
                <w:kern w:val="0"/>
                <w:sz w:val="18"/>
                <w:szCs w:val="18"/>
              </w:rPr>
            </w:pPr>
            <w:r>
              <w:rPr>
                <w:rFonts w:hint="eastAsia" w:ascii="宋体" w:hAnsi="宋体"/>
                <w:b/>
                <w:bCs/>
                <w:kern w:val="0"/>
                <w:sz w:val="18"/>
                <w:szCs w:val="18"/>
              </w:rPr>
              <w:t>四、生物课程研究中心(四楼西)</w:t>
            </w: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1168" w:type="dxa"/>
            <w:vAlign w:val="center"/>
          </w:tcPr>
          <w:p>
            <w:pPr>
              <w:widowControl/>
              <w:jc w:val="center"/>
              <w:rPr>
                <w:rFonts w:ascii="宋体" w:hAnsi="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教师办公桌</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1500×700×800</w:t>
            </w:r>
          </w:p>
        </w:tc>
        <w:tc>
          <w:tcPr>
            <w:tcW w:w="4784" w:type="dxa"/>
            <w:vAlign w:val="center"/>
          </w:tcPr>
          <w:p>
            <w:pPr>
              <w:widowControl/>
              <w:rPr>
                <w:rFonts w:ascii="宋体" w:hAnsi="宋体"/>
                <w:kern w:val="0"/>
                <w:sz w:val="18"/>
                <w:szCs w:val="18"/>
              </w:rPr>
            </w:pPr>
            <w:r>
              <w:rPr>
                <w:rFonts w:hint="eastAsia" w:ascii="宋体" w:hAnsi="宋体"/>
                <w:kern w:val="0"/>
                <w:sz w:val="18"/>
                <w:szCs w:val="18"/>
              </w:rPr>
              <w:t>电镀铝合金桌脚结构，桌面采用优质防火板，基材采用25mm厚E1级三聚氰胺板，可见截面均经过PVC封边，无死角，具有耐磨、耐刮、抗静电等特点，优质五金件。包含配套全钢活动柜一组。</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教师办公椅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4784" w:type="dxa"/>
            <w:vAlign w:val="center"/>
          </w:tcPr>
          <w:p>
            <w:pPr>
              <w:widowControl/>
              <w:rPr>
                <w:rFonts w:ascii="宋体" w:hAnsi="宋体"/>
                <w:kern w:val="0"/>
                <w:sz w:val="18"/>
                <w:szCs w:val="18"/>
              </w:rPr>
            </w:pPr>
            <w:r>
              <w:rPr>
                <w:rFonts w:hint="eastAsia" w:ascii="宋体" w:hAnsi="宋体"/>
                <w:kern w:val="0"/>
                <w:sz w:val="18"/>
                <w:szCs w:val="18"/>
              </w:rPr>
              <w:t>背靠网布中背设计，五星尼龙脚，优质气压棒升降，满足教师办公需求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把</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资料柜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1000×500×2000</w:t>
            </w:r>
          </w:p>
        </w:tc>
        <w:tc>
          <w:tcPr>
            <w:tcW w:w="4784" w:type="dxa"/>
            <w:vAlign w:val="center"/>
          </w:tcPr>
          <w:p>
            <w:pPr>
              <w:widowControl/>
              <w:rPr>
                <w:rFonts w:ascii="宋体" w:hAnsi="宋体"/>
                <w:kern w:val="0"/>
                <w:sz w:val="18"/>
                <w:szCs w:val="18"/>
              </w:rPr>
            </w:pPr>
            <w:r>
              <w:rPr>
                <w:rFonts w:hint="eastAsia" w:ascii="宋体" w:hAnsi="宋体"/>
                <w:kern w:val="0"/>
                <w:sz w:val="18"/>
                <w:szCs w:val="18"/>
              </w:rPr>
              <w:t>全钢结构。1.框架：采用1.2㎜厚镀锌钢板裁剪折弯后满焊点焊接，表面经EPOXY喷涂处理，连接件采用不锈钢连接件。2.柜体：侧板、背板采用采用1.2㎜厚镀锌钢板裁剪折弯后满焊点焊接，表面经EPOXY喷涂处理，连接件采用不锈钢连接件。3.柜门：采用1.2㎜厚镀锌钢板裁剪折弯后满焊点焊接，表面经EPOXY喷涂处理，对开门式设计。4.拉手：采用SUS304不锈钢C型拉手。5.铰链：采用定位铰链或2mm不锈钢合页。6.调整脚：采用ABS新料模具一体成型的承重型可调节地脚，螺丝SUS304不锈钢材质。</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沙发</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4784" w:type="dxa"/>
            <w:vAlign w:val="center"/>
          </w:tcPr>
          <w:p>
            <w:pPr>
              <w:widowControl/>
              <w:rPr>
                <w:rFonts w:ascii="宋体" w:hAnsi="宋体"/>
                <w:kern w:val="0"/>
                <w:sz w:val="18"/>
                <w:szCs w:val="18"/>
              </w:rPr>
            </w:pPr>
            <w:r>
              <w:rPr>
                <w:rFonts w:hint="eastAsia" w:ascii="宋体" w:hAnsi="宋体"/>
                <w:kern w:val="0"/>
                <w:sz w:val="18"/>
                <w:szCs w:val="18"/>
              </w:rPr>
              <w:t>不锈钢脚，阻燃性一体成型泡棉沙发，仿皮面料，不锈钢扶手。</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笔记本电脑</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CPU速度2.8GHz,核心四核第七代智能英特尔 酷睿四核处理器I7-7700HQ,内存容量8GB,内存类型DDR4 2400,插槽数量2 x SO-DIMM,最大支持容量32GB,硬盘容量1T,固态硬盘128GB SSD,独立显卡,NVIDIA Geforce GTX 1050Ti 4GDDR5,15.6英寸,宽屏16：9,分辨率1920×1080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联想、惠普、戴尔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磁性书写白板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1200*900</w:t>
            </w:r>
          </w:p>
        </w:tc>
        <w:tc>
          <w:tcPr>
            <w:tcW w:w="4784" w:type="dxa"/>
            <w:vAlign w:val="center"/>
          </w:tcPr>
          <w:p>
            <w:pPr>
              <w:widowControl/>
              <w:rPr>
                <w:rFonts w:ascii="宋体" w:hAnsi="宋体"/>
                <w:kern w:val="0"/>
                <w:sz w:val="18"/>
                <w:szCs w:val="18"/>
              </w:rPr>
            </w:pPr>
            <w:r>
              <w:rPr>
                <w:rFonts w:hint="eastAsia" w:ascii="宋体" w:hAnsi="宋体"/>
                <w:kern w:val="0"/>
                <w:sz w:val="18"/>
                <w:szCs w:val="18"/>
              </w:rPr>
              <w:t>钢制背板，表面优秀E3白板，擦试无痕，可粘贴作品。</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优雅乐、科达、捷仁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挂式空调</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匹数1.5匹、无氟变频、能效等级2级、电辅加热、制冷量(W)3500(300-4220)、制冷功率(W)960(105-1580)、制热量(W)4500(300-5620)、制热功率(W)1210(105-1755)、电辅加热功率(W)1100、内机噪音(dB(A)超强41/高风36/静音17、外机噪音(dB(A)50、变频机能效比4.13、循环风量(m3/h)700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局部艺术吊顶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满足工业风设计效果的整体配套，生物造型局部制作。</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配套地板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1、采用优质PVC地板及安装；2、地板厚度不低于2.0mm，面层耐磨层不低于0.5mm；底层为密实层带编织无纺布底，确保地板安装粘合更加牢固；地板中层必须有玻纤稳定层；共三层结构。</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ascii="宋体" w:hAnsi="宋体"/>
                <w:sz w:val="18"/>
                <w:szCs w:val="18"/>
              </w:rPr>
              <w:t>LG</w:t>
            </w:r>
            <w:r>
              <w:rPr>
                <w:rFonts w:hint="eastAsia" w:ascii="宋体" w:hAnsi="宋体"/>
                <w:sz w:val="18"/>
                <w:szCs w:val="18"/>
              </w:rPr>
              <w:t>、丽杰、阿姆斯壮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天花批灰油乳胶漆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双飞粉、环保108胶水、熟胶粉、批灰二遍、打磨二遍、面刷乳胶漆三遍。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墙面乳胶漆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内容包括墙面修复、底面刮灰、面涂彩色立邦涂料，二底二面。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配套电路系统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电线铺设及穿管布线等，BV2.5国标单芯电缆，含室内设备及照明电源供应。</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50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熊猫、起帆、正泰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综合网络布线安装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国标超五类网线穿管安装及开槽修复/含人工。满足使用要求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西蒙、安普、康普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插座及开关</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配套品牌开关插座及设备优质地插座</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TCL罗格朗、西门子、世耐尔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综合地面开槽及修复</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原墙体、地面局部开槽及修复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15</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配套LED照明系统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配套照明灯具及安装（包含照明造型灯，满足照明及精美展示要求）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光宏、顺冠、欧普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原墙面铲除</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原墙面铲除</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墙面防水处理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墙面防水处理。</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雨虹、</w:t>
            </w:r>
            <w:r>
              <w:rPr>
                <w:rFonts w:ascii="宋体" w:hAnsi="宋体"/>
                <w:kern w:val="0"/>
                <w:sz w:val="18"/>
                <w:szCs w:val="18"/>
              </w:rPr>
              <w:t>大禹</w:t>
            </w:r>
            <w:r>
              <w:rPr>
                <w:rFonts w:hint="eastAsia" w:ascii="宋体" w:hAnsi="宋体"/>
                <w:kern w:val="0"/>
                <w:sz w:val="18"/>
                <w:szCs w:val="18"/>
              </w:rPr>
              <w:t>、</w:t>
            </w:r>
            <w:r>
              <w:rPr>
                <w:rFonts w:ascii="宋体" w:hAnsi="宋体"/>
                <w:kern w:val="0"/>
                <w:sz w:val="18"/>
                <w:szCs w:val="18"/>
              </w:rPr>
              <w:t>德高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墙面生态木装饰</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环保优质生态木墙面装饰，</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运输及清洁费用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材料搬运、垃圾清理及保洁等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安装辅材</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配套安装辅材、连接件、安装配件等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bottom"/>
          </w:tcPr>
          <w:p>
            <w:pPr>
              <w:widowControl/>
              <w:jc w:val="left"/>
              <w:rPr>
                <w:rFonts w:ascii="宋体" w:hAnsi="宋体"/>
                <w:b/>
                <w:bCs/>
                <w:kern w:val="0"/>
                <w:sz w:val="18"/>
                <w:szCs w:val="18"/>
              </w:rPr>
            </w:pPr>
            <w:r>
              <w:rPr>
                <w:rFonts w:hint="eastAsia" w:ascii="宋体" w:hAnsi="宋体"/>
                <w:b/>
                <w:bCs/>
                <w:kern w:val="0"/>
                <w:sz w:val="18"/>
                <w:szCs w:val="18"/>
              </w:rPr>
              <w:t>五、生物综合实验室(STEM主题)</w:t>
            </w: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bottom"/>
          </w:tcPr>
          <w:p>
            <w:pPr>
              <w:widowControl/>
              <w:jc w:val="center"/>
              <w:rPr>
                <w:rFonts w:ascii="宋体" w:hAnsi="宋体"/>
                <w:b/>
                <w:bCs/>
                <w:kern w:val="0"/>
                <w:sz w:val="18"/>
                <w:szCs w:val="18"/>
              </w:rPr>
            </w:pPr>
            <w:r>
              <w:rPr>
                <w:rFonts w:hint="eastAsia" w:ascii="宋体" w:hAnsi="宋体"/>
                <w:b/>
                <w:bCs/>
                <w:kern w:val="0"/>
                <w:sz w:val="18"/>
                <w:szCs w:val="18"/>
              </w:rPr>
              <w:t>（一）实验室基础仪器设备</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收纳矮书架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800×400×700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双层设计，分2列空格，共4分格；</w:t>
            </w:r>
            <w:r>
              <w:rPr>
                <w:rFonts w:hint="eastAsia" w:ascii="宋体" w:hAnsi="宋体"/>
                <w:kern w:val="0"/>
                <w:sz w:val="18"/>
                <w:szCs w:val="18"/>
              </w:rPr>
              <w:br w:type="textWrapping"/>
            </w:r>
            <w:r>
              <w:rPr>
                <w:rFonts w:hint="eastAsia" w:ascii="宋体" w:hAnsi="宋体"/>
                <w:kern w:val="0"/>
                <w:sz w:val="18"/>
                <w:szCs w:val="18"/>
              </w:rPr>
              <w:t>1.基材：采用优质E1板材，桌体台面采用2mm厚封边条、柜体侧板（除与地面接触边）、柜体顶板、门板、抽面板等可见处采用2mm厚封边条，其余部位封1mm封边条。板件之间采用三合一连接和木梢的方式连接固定。</w:t>
            </w:r>
            <w:r>
              <w:rPr>
                <w:rFonts w:hint="eastAsia" w:ascii="宋体" w:hAnsi="宋体"/>
                <w:kern w:val="0"/>
                <w:sz w:val="18"/>
                <w:szCs w:val="18"/>
              </w:rPr>
              <w:br w:type="textWrapping"/>
            </w:r>
            <w:r>
              <w:rPr>
                <w:rFonts w:hint="eastAsia" w:ascii="宋体" w:hAnsi="宋体"/>
                <w:kern w:val="0"/>
                <w:sz w:val="18"/>
                <w:szCs w:val="18"/>
              </w:rPr>
              <w:t>2.封边：采用封边条厚度2.5MM的优质同色PVC封边条，无起花，异色边缘修饰平整、光滑。</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后墙储存矮柜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1000×500×1000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全钢结构。</w:t>
            </w:r>
          </w:p>
          <w:p>
            <w:pPr>
              <w:widowControl/>
              <w:numPr>
                <w:ilvl w:val="0"/>
                <w:numId w:val="6"/>
              </w:numPr>
              <w:jc w:val="left"/>
              <w:rPr>
                <w:rFonts w:ascii="宋体" w:hAnsi="宋体"/>
                <w:kern w:val="0"/>
                <w:sz w:val="18"/>
                <w:szCs w:val="18"/>
              </w:rPr>
            </w:pPr>
            <w:r>
              <w:rPr>
                <w:rFonts w:hint="eastAsia" w:ascii="宋体" w:hAnsi="宋体"/>
                <w:kern w:val="0"/>
                <w:sz w:val="18"/>
                <w:szCs w:val="18"/>
              </w:rPr>
              <w:t>框架：采用1.2㎜厚镀锌钢板裁剪折弯后满焊点焊接，表面经EPOXY喷涂处理，连接件采用不锈钢连接件。</w:t>
            </w:r>
          </w:p>
          <w:p>
            <w:pPr>
              <w:widowControl/>
              <w:jc w:val="left"/>
              <w:rPr>
                <w:rFonts w:ascii="宋体" w:hAnsi="宋体"/>
                <w:kern w:val="0"/>
                <w:sz w:val="18"/>
                <w:szCs w:val="18"/>
              </w:rPr>
            </w:pPr>
            <w:r>
              <w:rPr>
                <w:rFonts w:hint="eastAsia" w:ascii="宋体" w:hAnsi="宋体"/>
                <w:kern w:val="0"/>
                <w:sz w:val="18"/>
                <w:szCs w:val="18"/>
              </w:rPr>
              <w:t>2.柜体：侧板、背板采用采用1.2㎜厚镀锌钢板裁剪折弯后满焊点焊接，表面经EPOXY喷涂处理，连接件采用不锈钢连接件。</w:t>
            </w:r>
          </w:p>
          <w:p>
            <w:pPr>
              <w:widowControl/>
              <w:jc w:val="left"/>
              <w:rPr>
                <w:rFonts w:ascii="宋体" w:hAnsi="宋体"/>
                <w:kern w:val="0"/>
                <w:sz w:val="18"/>
                <w:szCs w:val="18"/>
              </w:rPr>
            </w:pPr>
            <w:r>
              <w:rPr>
                <w:rFonts w:hint="eastAsia" w:ascii="宋体" w:hAnsi="宋体"/>
                <w:kern w:val="0"/>
                <w:sz w:val="18"/>
                <w:szCs w:val="18"/>
              </w:rPr>
              <w:t>3.柜门：采用1.2㎜厚镀锌钢板裁剪折弯后满焊点焊接，表面经EPOXY喷涂处理，对开门式设计。</w:t>
            </w:r>
          </w:p>
          <w:p>
            <w:pPr>
              <w:widowControl/>
              <w:jc w:val="left"/>
              <w:rPr>
                <w:rFonts w:ascii="宋体" w:hAnsi="宋体"/>
                <w:kern w:val="0"/>
                <w:sz w:val="18"/>
                <w:szCs w:val="18"/>
              </w:rPr>
            </w:pPr>
            <w:r>
              <w:rPr>
                <w:rFonts w:hint="eastAsia" w:ascii="宋体" w:hAnsi="宋体"/>
                <w:kern w:val="0"/>
                <w:sz w:val="18"/>
                <w:szCs w:val="18"/>
              </w:rPr>
              <w:t>4.拉手：采用SUS304不锈钢C型拉手。</w:t>
            </w:r>
          </w:p>
          <w:p>
            <w:pPr>
              <w:widowControl/>
              <w:jc w:val="left"/>
              <w:rPr>
                <w:rFonts w:ascii="宋体" w:hAnsi="宋体"/>
                <w:kern w:val="0"/>
                <w:sz w:val="18"/>
                <w:szCs w:val="18"/>
              </w:rPr>
            </w:pPr>
            <w:r>
              <w:rPr>
                <w:rFonts w:hint="eastAsia" w:ascii="宋体" w:hAnsi="宋体"/>
                <w:kern w:val="0"/>
                <w:sz w:val="18"/>
                <w:szCs w:val="18"/>
              </w:rPr>
              <w:t>5.铰链：采用定位铰链或2mm不锈钢合页。</w:t>
            </w:r>
          </w:p>
          <w:p>
            <w:pPr>
              <w:widowControl/>
              <w:jc w:val="left"/>
              <w:rPr>
                <w:rFonts w:ascii="宋体" w:hAnsi="宋体"/>
                <w:kern w:val="0"/>
                <w:sz w:val="18"/>
                <w:szCs w:val="18"/>
              </w:rPr>
            </w:pPr>
            <w:r>
              <w:rPr>
                <w:rFonts w:hint="eastAsia" w:ascii="宋体" w:hAnsi="宋体"/>
                <w:kern w:val="0"/>
                <w:sz w:val="18"/>
                <w:szCs w:val="18"/>
              </w:rPr>
              <w:t>6.调整脚：采用ABS新料模具一体成型的承重型可调节地脚，螺丝SUS304不锈钢材质。</w:t>
            </w:r>
          </w:p>
          <w:p>
            <w:pPr>
              <w:widowControl/>
              <w:jc w:val="left"/>
              <w:rPr>
                <w:rFonts w:ascii="宋体" w:hAnsi="宋体"/>
                <w:kern w:val="0"/>
                <w:sz w:val="18"/>
                <w:szCs w:val="18"/>
              </w:rPr>
            </w:pPr>
            <w:r>
              <w:rPr>
                <w:rFonts w:hint="eastAsia" w:ascii="宋体" w:hAnsi="宋体"/>
                <w:kern w:val="0"/>
                <w:sz w:val="18"/>
                <w:szCs w:val="18"/>
              </w:rPr>
              <w:t>7.顶面采用采用12.7mm厚抗倍特板制作，边沿镶边加厚至25mm厚；</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实物投影仪</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510×410×120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整机≥220倍放大,图像特技：正负片、冻结、旋转、标题、同屏对比、镜像、文本/图像、黑白/彩页.图像存储：有.同屏对比：有.USB2.0接口： 有(提供接口软件或附件，可供用户计算机程序实时调用展示台上实物摄像图像，并能控制展台物理操作).RGB输入输出：DB15FLC 各 2组.RGB输出分辨率：XGA、SXGA、WXGA、720P 16:9.镜头输出像素：320万.RS232接口：有.音频输入：3.5mm插口3组.音频输出：3.5mm插口1组.视频输入：RCA 1组.视频输出：RCA 1组,S-VIDEO 1组.麦克风输入： 麦克风插座.HDMI输入： 无.HDMI输出: 无.SD卡储存：不支持.侧灯： 2个1.0W LED.红,蓝增益： 有.亮度调节： 有.投影机开关/信号/输入切换： RS232控制.安全锁：有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鸿合、希沃、峰宁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电脑与多媒体设备调试</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品牌机，≥21英寸，宽视角一体机,全高清1920X1080，具有防眩光涂层，立式底座，第七代英特尔酷睿I3-7100U处理器，≥4GB DDR4 2400MHZ 内存/500G 5400RPM 硬盘，intel  HD Graphic 显卡/带无线及蓝牙功能，原厂三年免费质保；与原投影仪相连并进行调试</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联想、惠普、戴尔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立式空调</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5P及以上</w:t>
            </w:r>
            <w:r>
              <w:rPr>
                <w:rFonts w:hint="eastAsia" w:ascii="宋体" w:hAnsi="宋体"/>
                <w:kern w:val="0"/>
                <w:sz w:val="18"/>
                <w:szCs w:val="18"/>
              </w:rPr>
              <w:br w:type="textWrapping"/>
            </w:r>
            <w:r>
              <w:rPr>
                <w:rFonts w:hint="eastAsia" w:ascii="宋体" w:hAnsi="宋体"/>
                <w:kern w:val="0"/>
                <w:sz w:val="18"/>
                <w:szCs w:val="18"/>
              </w:rPr>
              <w:t>冷暖</w:t>
            </w:r>
            <w:r>
              <w:rPr>
                <w:rFonts w:hint="eastAsia" w:ascii="宋体" w:hAnsi="宋体"/>
                <w:kern w:val="0"/>
                <w:sz w:val="18"/>
                <w:szCs w:val="18"/>
              </w:rPr>
              <w:br w:type="textWrapping"/>
            </w:r>
            <w:r>
              <w:rPr>
                <w:rFonts w:hint="eastAsia" w:ascii="宋体" w:hAnsi="宋体"/>
                <w:kern w:val="0"/>
                <w:sz w:val="18"/>
                <w:szCs w:val="18"/>
              </w:rPr>
              <w:t>定频</w:t>
            </w:r>
            <w:r>
              <w:rPr>
                <w:rFonts w:hint="eastAsia" w:ascii="宋体" w:hAnsi="宋体"/>
                <w:kern w:val="0"/>
                <w:sz w:val="18"/>
                <w:szCs w:val="18"/>
              </w:rPr>
              <w:br w:type="textWrapping"/>
            </w:r>
            <w:r>
              <w:rPr>
                <w:rFonts w:hint="eastAsia" w:ascii="宋体" w:hAnsi="宋体"/>
                <w:kern w:val="0"/>
                <w:sz w:val="18"/>
                <w:szCs w:val="18"/>
              </w:rPr>
              <w:t>电辅加热</w:t>
            </w:r>
            <w:r>
              <w:rPr>
                <w:rFonts w:hint="eastAsia" w:ascii="宋体" w:hAnsi="宋体"/>
                <w:kern w:val="0"/>
                <w:sz w:val="18"/>
                <w:szCs w:val="18"/>
              </w:rPr>
              <w:br w:type="textWrapping"/>
            </w:r>
            <w:r>
              <w:rPr>
                <w:rFonts w:hint="eastAsia" w:ascii="宋体" w:hAnsi="宋体"/>
                <w:kern w:val="0"/>
                <w:sz w:val="18"/>
                <w:szCs w:val="18"/>
              </w:rPr>
              <w:t>制冷量(W)：12000</w:t>
            </w:r>
            <w:r>
              <w:rPr>
                <w:rFonts w:hint="eastAsia" w:ascii="宋体" w:hAnsi="宋体"/>
                <w:kern w:val="0"/>
                <w:sz w:val="18"/>
                <w:szCs w:val="18"/>
              </w:rPr>
              <w:br w:type="textWrapping"/>
            </w:r>
            <w:r>
              <w:rPr>
                <w:rFonts w:hint="eastAsia" w:ascii="宋体" w:hAnsi="宋体"/>
                <w:kern w:val="0"/>
                <w:sz w:val="18"/>
                <w:szCs w:val="18"/>
              </w:rPr>
              <w:t>制冷功率(W)：3680</w:t>
            </w:r>
            <w:r>
              <w:rPr>
                <w:rFonts w:hint="eastAsia" w:ascii="宋体" w:hAnsi="宋体"/>
                <w:kern w:val="0"/>
                <w:sz w:val="18"/>
                <w:szCs w:val="18"/>
              </w:rPr>
              <w:br w:type="textWrapping"/>
            </w:r>
            <w:r>
              <w:rPr>
                <w:rFonts w:hint="eastAsia" w:ascii="宋体" w:hAnsi="宋体"/>
                <w:kern w:val="0"/>
                <w:sz w:val="18"/>
                <w:szCs w:val="18"/>
              </w:rPr>
              <w:t>制热量(W)：14000</w:t>
            </w:r>
            <w:r>
              <w:rPr>
                <w:rFonts w:hint="eastAsia" w:ascii="宋体" w:hAnsi="宋体"/>
                <w:kern w:val="0"/>
                <w:sz w:val="18"/>
                <w:szCs w:val="18"/>
              </w:rPr>
              <w:br w:type="textWrapping"/>
            </w:r>
            <w:r>
              <w:rPr>
                <w:rFonts w:hint="eastAsia" w:ascii="宋体" w:hAnsi="宋体"/>
                <w:kern w:val="0"/>
                <w:sz w:val="18"/>
                <w:szCs w:val="18"/>
              </w:rPr>
              <w:t>制热功率(W)：3950</w:t>
            </w:r>
            <w:r>
              <w:rPr>
                <w:rFonts w:hint="eastAsia" w:ascii="宋体" w:hAnsi="宋体"/>
                <w:kern w:val="0"/>
                <w:sz w:val="18"/>
                <w:szCs w:val="18"/>
              </w:rPr>
              <w:br w:type="textWrapping"/>
            </w:r>
            <w:r>
              <w:rPr>
                <w:rFonts w:hint="eastAsia" w:ascii="宋体" w:hAnsi="宋体"/>
                <w:kern w:val="0"/>
                <w:sz w:val="18"/>
                <w:szCs w:val="18"/>
              </w:rPr>
              <w:t>电辅加热功率(W)：3500</w:t>
            </w:r>
            <w:r>
              <w:rPr>
                <w:rFonts w:hint="eastAsia" w:ascii="宋体" w:hAnsi="宋体"/>
                <w:kern w:val="0"/>
                <w:sz w:val="18"/>
                <w:szCs w:val="18"/>
              </w:rPr>
              <w:br w:type="textWrapping"/>
            </w:r>
            <w:r>
              <w:rPr>
                <w:rFonts w:hint="eastAsia" w:ascii="宋体" w:hAnsi="宋体"/>
                <w:kern w:val="0"/>
                <w:sz w:val="18"/>
                <w:szCs w:val="18"/>
              </w:rPr>
              <w:t>内机噪音(dB(A)：51/46/41</w:t>
            </w:r>
            <w:r>
              <w:rPr>
                <w:rFonts w:hint="eastAsia" w:ascii="宋体" w:hAnsi="宋体"/>
                <w:kern w:val="0"/>
                <w:sz w:val="18"/>
                <w:szCs w:val="18"/>
              </w:rPr>
              <w:br w:type="textWrapping"/>
            </w:r>
            <w:r>
              <w:rPr>
                <w:rFonts w:hint="eastAsia" w:ascii="宋体" w:hAnsi="宋体"/>
                <w:kern w:val="0"/>
                <w:sz w:val="18"/>
                <w:szCs w:val="18"/>
              </w:rPr>
              <w:t>外机噪音(dB(A)：58</w:t>
            </w:r>
            <w:r>
              <w:rPr>
                <w:rFonts w:hint="eastAsia" w:ascii="宋体" w:hAnsi="宋体"/>
                <w:kern w:val="0"/>
                <w:sz w:val="18"/>
                <w:szCs w:val="18"/>
              </w:rPr>
              <w:br w:type="textWrapping"/>
            </w:r>
            <w:r>
              <w:rPr>
                <w:rFonts w:hint="eastAsia" w:ascii="宋体" w:hAnsi="宋体"/>
                <w:kern w:val="0"/>
                <w:sz w:val="18"/>
                <w:szCs w:val="18"/>
              </w:rPr>
              <w:t>定频机能效比：3.19</w:t>
            </w:r>
            <w:r>
              <w:rPr>
                <w:rFonts w:hint="eastAsia" w:ascii="宋体" w:hAnsi="宋体"/>
                <w:kern w:val="0"/>
                <w:sz w:val="18"/>
                <w:szCs w:val="18"/>
              </w:rPr>
              <w:br w:type="textWrapping"/>
            </w:r>
            <w:r>
              <w:rPr>
                <w:rFonts w:hint="eastAsia" w:ascii="宋体" w:hAnsi="宋体"/>
                <w:kern w:val="0"/>
                <w:sz w:val="18"/>
                <w:szCs w:val="18"/>
              </w:rPr>
              <w:t>循环风量(m3/h)：2000</w:t>
            </w:r>
            <w:r>
              <w:rPr>
                <w:rFonts w:hint="eastAsia" w:ascii="宋体" w:hAnsi="宋体"/>
                <w:kern w:val="0"/>
                <w:sz w:val="18"/>
                <w:szCs w:val="18"/>
              </w:rPr>
              <w:br w:type="textWrapping"/>
            </w:r>
            <w:r>
              <w:rPr>
                <w:rFonts w:hint="eastAsia" w:ascii="宋体" w:hAnsi="宋体"/>
                <w:kern w:val="0"/>
                <w:sz w:val="18"/>
                <w:szCs w:val="18"/>
              </w:rPr>
              <w:t>上下/左右扫风</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空调辅材及安装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包含：连机铜管、电源线、PVC排水管、吊杆、支架。人工费、安装费等辅助。</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bottom"/>
          </w:tcPr>
          <w:p>
            <w:pPr>
              <w:widowControl/>
              <w:jc w:val="center"/>
              <w:rPr>
                <w:rFonts w:ascii="宋体" w:hAnsi="宋体"/>
                <w:b/>
                <w:bCs/>
                <w:kern w:val="0"/>
                <w:sz w:val="18"/>
                <w:szCs w:val="18"/>
              </w:rPr>
            </w:pPr>
            <w:r>
              <w:rPr>
                <w:rFonts w:hint="eastAsia" w:ascii="宋体" w:hAnsi="宋体"/>
                <w:b/>
                <w:bCs/>
                <w:kern w:val="0"/>
                <w:sz w:val="18"/>
                <w:szCs w:val="18"/>
              </w:rPr>
              <w:t>（二）实验室主体修复及文化展示</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生物文化展示展板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要求结构符合整体设计理念，符合整体生物课程基地特色展示构造，内容要求满足生物基础实验室课程设计要求，材质采用高强度雪弗板，贴高清写真画面。含设计、安装。尺寸不小于600*800mm；</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桌体修复及更新配件安装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满足学校原有实验桌的修复更新人工及配件安装</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局部乳胶漆涂装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内容包括局部墙面修复、底面刮灰、面涂白色或彩色涂料，二底二面。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空调线路系统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空调电线铺设及穿管布线等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60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熊猫、起帆、正泰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bottom"/>
          </w:tcPr>
          <w:p>
            <w:pPr>
              <w:widowControl/>
              <w:jc w:val="left"/>
              <w:rPr>
                <w:rFonts w:ascii="宋体" w:hAnsi="宋体"/>
                <w:b/>
                <w:bCs/>
                <w:kern w:val="0"/>
                <w:sz w:val="18"/>
                <w:szCs w:val="18"/>
              </w:rPr>
            </w:pPr>
            <w:r>
              <w:rPr>
                <w:rFonts w:hint="eastAsia" w:ascii="宋体" w:hAnsi="宋体"/>
                <w:b/>
                <w:bCs/>
                <w:kern w:val="0"/>
                <w:sz w:val="18"/>
                <w:szCs w:val="18"/>
              </w:rPr>
              <w:t>六、生物标本展示与活动中心</w:t>
            </w: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jc w:val="center"/>
              <w:rPr>
                <w:rFonts w:ascii="宋体" w:hAnsi="宋体"/>
                <w:sz w:val="18"/>
                <w:szCs w:val="18"/>
              </w:rPr>
            </w:pPr>
            <w:r>
              <w:rPr>
                <w:rFonts w:hint="eastAsia" w:ascii="宋体" w:hAnsi="宋体"/>
                <w:sz w:val="18"/>
                <w:szCs w:val="18"/>
              </w:rPr>
              <w:t>讨论会议桌</w:t>
            </w:r>
          </w:p>
        </w:tc>
        <w:tc>
          <w:tcPr>
            <w:tcW w:w="1084" w:type="dxa"/>
            <w:vAlign w:val="center"/>
          </w:tcPr>
          <w:p>
            <w:pPr>
              <w:jc w:val="center"/>
              <w:rPr>
                <w:rFonts w:ascii="宋体" w:hAnsi="宋体"/>
                <w:sz w:val="18"/>
                <w:szCs w:val="18"/>
              </w:rPr>
            </w:pPr>
            <w:r>
              <w:rPr>
                <w:rFonts w:ascii="宋体" w:hAnsi="宋体"/>
                <w:sz w:val="18"/>
                <w:szCs w:val="18"/>
              </w:rPr>
              <w:t>20</w:t>
            </w:r>
            <w:r>
              <w:rPr>
                <w:rStyle w:val="100"/>
                <w:rFonts w:hAnsi="宋体"/>
                <w:color w:val="auto"/>
              </w:rPr>
              <w:t>00</w:t>
            </w:r>
            <w:r>
              <w:rPr>
                <w:rStyle w:val="100"/>
                <w:rFonts w:hint="eastAsia" w:hAnsi="宋体"/>
                <w:color w:val="auto"/>
              </w:rPr>
              <w:t>×9</w:t>
            </w:r>
            <w:r>
              <w:rPr>
                <w:rStyle w:val="100"/>
                <w:rFonts w:hAnsi="宋体"/>
                <w:color w:val="auto"/>
              </w:rPr>
              <w:t>00</w:t>
            </w:r>
            <w:r>
              <w:rPr>
                <w:rStyle w:val="100"/>
                <w:rFonts w:hint="eastAsia" w:hAnsi="宋体"/>
                <w:color w:val="auto"/>
              </w:rPr>
              <w:t>×</w:t>
            </w:r>
            <w:r>
              <w:rPr>
                <w:rStyle w:val="100"/>
                <w:rFonts w:hAnsi="宋体"/>
                <w:color w:val="auto"/>
              </w:rPr>
              <w:t>800</w:t>
            </w:r>
          </w:p>
        </w:tc>
        <w:tc>
          <w:tcPr>
            <w:tcW w:w="4784" w:type="dxa"/>
            <w:vAlign w:val="center"/>
          </w:tcPr>
          <w:p>
            <w:pPr>
              <w:rPr>
                <w:rFonts w:ascii="宋体" w:hAnsi="宋体"/>
                <w:sz w:val="18"/>
                <w:szCs w:val="18"/>
              </w:rPr>
            </w:pPr>
            <w:r>
              <w:rPr>
                <w:rFonts w:ascii="宋体" w:hAnsi="宋体"/>
                <w:sz w:val="18"/>
                <w:szCs w:val="18"/>
              </w:rPr>
              <w:t>1.</w:t>
            </w:r>
            <w:r>
              <w:rPr>
                <w:rFonts w:hint="eastAsia" w:ascii="宋体" w:hAnsi="宋体"/>
                <w:sz w:val="18"/>
                <w:szCs w:val="18"/>
              </w:rPr>
              <w:t>基材：采用优质</w:t>
            </w:r>
            <w:r>
              <w:rPr>
                <w:rFonts w:ascii="宋体" w:hAnsi="宋体"/>
                <w:sz w:val="18"/>
                <w:szCs w:val="18"/>
              </w:rPr>
              <w:t>E1</w:t>
            </w:r>
            <w:r>
              <w:rPr>
                <w:rFonts w:hint="eastAsia" w:ascii="宋体" w:hAnsi="宋体"/>
                <w:sz w:val="18"/>
                <w:szCs w:val="18"/>
              </w:rPr>
              <w:t>板材，桌体台面采用</w:t>
            </w:r>
            <w:r>
              <w:rPr>
                <w:rFonts w:ascii="宋体" w:hAnsi="宋体"/>
                <w:sz w:val="18"/>
                <w:szCs w:val="18"/>
              </w:rPr>
              <w:t>2mm</w:t>
            </w:r>
            <w:r>
              <w:rPr>
                <w:rFonts w:hint="eastAsia" w:ascii="宋体" w:hAnsi="宋体"/>
                <w:sz w:val="18"/>
                <w:szCs w:val="18"/>
              </w:rPr>
              <w:t>厚封边条、柜体侧板（除与地面接触边）、柜体顶板、门板、抽面板等可见处采用</w:t>
            </w:r>
            <w:r>
              <w:rPr>
                <w:rFonts w:ascii="宋体" w:hAnsi="宋体"/>
                <w:sz w:val="18"/>
                <w:szCs w:val="18"/>
              </w:rPr>
              <w:t>2mm</w:t>
            </w:r>
            <w:r>
              <w:rPr>
                <w:rFonts w:hint="eastAsia" w:ascii="宋体" w:hAnsi="宋体"/>
                <w:sz w:val="18"/>
                <w:szCs w:val="18"/>
              </w:rPr>
              <w:t>厚封边条，其余部位封</w:t>
            </w:r>
            <w:r>
              <w:rPr>
                <w:rFonts w:ascii="宋体" w:hAnsi="宋体"/>
                <w:sz w:val="18"/>
                <w:szCs w:val="18"/>
              </w:rPr>
              <w:t>1mm</w:t>
            </w:r>
            <w:r>
              <w:rPr>
                <w:rFonts w:hint="eastAsia" w:ascii="宋体" w:hAnsi="宋体"/>
                <w:sz w:val="18"/>
                <w:szCs w:val="18"/>
              </w:rPr>
              <w:t>封边条。板件之间采用三合一连接和木梢的方式连接固定。</w:t>
            </w:r>
            <w:r>
              <w:rPr>
                <w:rFonts w:ascii="宋体" w:hAnsi="宋体"/>
                <w:sz w:val="18"/>
                <w:szCs w:val="18"/>
              </w:rPr>
              <w:br w:type="textWrapping"/>
            </w:r>
            <w:r>
              <w:rPr>
                <w:rFonts w:ascii="宋体" w:hAnsi="宋体"/>
                <w:sz w:val="18"/>
                <w:szCs w:val="18"/>
              </w:rPr>
              <w:t>2.</w:t>
            </w:r>
            <w:r>
              <w:rPr>
                <w:rFonts w:hint="eastAsia" w:ascii="宋体" w:hAnsi="宋体"/>
                <w:sz w:val="18"/>
                <w:szCs w:val="18"/>
              </w:rPr>
              <w:t>封边：采用封边条厚度</w:t>
            </w:r>
            <w:r>
              <w:rPr>
                <w:rFonts w:ascii="宋体" w:hAnsi="宋体"/>
                <w:sz w:val="18"/>
                <w:szCs w:val="18"/>
              </w:rPr>
              <w:t>2.5MM</w:t>
            </w:r>
            <w:r>
              <w:rPr>
                <w:rFonts w:hint="eastAsia" w:ascii="宋体" w:hAnsi="宋体"/>
                <w:sz w:val="18"/>
                <w:szCs w:val="18"/>
              </w:rPr>
              <w:t>的优质同色</w:t>
            </w:r>
            <w:r>
              <w:rPr>
                <w:rFonts w:ascii="宋体" w:hAnsi="宋体"/>
                <w:sz w:val="18"/>
                <w:szCs w:val="18"/>
              </w:rPr>
              <w:t>PVC</w:t>
            </w:r>
            <w:r>
              <w:rPr>
                <w:rFonts w:hint="eastAsia" w:ascii="宋体" w:hAnsi="宋体"/>
                <w:sz w:val="18"/>
                <w:szCs w:val="18"/>
              </w:rPr>
              <w:t>封边条，无起花，异色边缘修饰平整、光滑。</w:t>
            </w:r>
          </w:p>
        </w:tc>
        <w:tc>
          <w:tcPr>
            <w:tcW w:w="556" w:type="dxa"/>
            <w:vAlign w:val="center"/>
          </w:tcPr>
          <w:p>
            <w:pPr>
              <w:jc w:val="center"/>
              <w:rPr>
                <w:rFonts w:ascii="宋体" w:hAnsi="宋体"/>
                <w:sz w:val="18"/>
                <w:szCs w:val="18"/>
              </w:rPr>
            </w:pPr>
            <w:r>
              <w:rPr>
                <w:rFonts w:hint="eastAsia" w:ascii="宋体" w:hAnsi="宋体"/>
                <w:sz w:val="18"/>
                <w:szCs w:val="18"/>
              </w:rPr>
              <w:t>2</w:t>
            </w:r>
          </w:p>
        </w:tc>
        <w:tc>
          <w:tcPr>
            <w:tcW w:w="556" w:type="dxa"/>
            <w:vAlign w:val="center"/>
          </w:tcPr>
          <w:p>
            <w:pPr>
              <w:jc w:val="center"/>
              <w:rPr>
                <w:rFonts w:ascii="宋体" w:hAnsi="宋体"/>
                <w:sz w:val="18"/>
                <w:szCs w:val="18"/>
              </w:rPr>
            </w:pPr>
            <w:r>
              <w:rPr>
                <w:rFonts w:hint="eastAsia" w:ascii="宋体" w:hAnsi="宋体"/>
                <w:sz w:val="18"/>
                <w:szCs w:val="18"/>
              </w:rPr>
              <w:t>组</w:t>
            </w:r>
          </w:p>
        </w:tc>
        <w:tc>
          <w:tcPr>
            <w:tcW w:w="116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jc w:val="center"/>
              <w:rPr>
                <w:rFonts w:ascii="宋体" w:hAnsi="宋体"/>
                <w:sz w:val="18"/>
                <w:szCs w:val="18"/>
              </w:rPr>
            </w:pPr>
            <w:r>
              <w:rPr>
                <w:rFonts w:hint="eastAsia" w:ascii="宋体" w:hAnsi="宋体"/>
                <w:sz w:val="18"/>
                <w:szCs w:val="18"/>
              </w:rPr>
              <w:t>会议椅</w:t>
            </w:r>
          </w:p>
        </w:tc>
        <w:tc>
          <w:tcPr>
            <w:tcW w:w="1084" w:type="dxa"/>
            <w:vAlign w:val="center"/>
          </w:tcPr>
          <w:p>
            <w:pPr>
              <w:jc w:val="center"/>
              <w:rPr>
                <w:rFonts w:ascii="宋体" w:hAnsi="宋体"/>
                <w:sz w:val="18"/>
                <w:szCs w:val="18"/>
              </w:rPr>
            </w:pPr>
          </w:p>
        </w:tc>
        <w:tc>
          <w:tcPr>
            <w:tcW w:w="4784" w:type="dxa"/>
            <w:vAlign w:val="center"/>
          </w:tcPr>
          <w:p>
            <w:pPr>
              <w:rPr>
                <w:rFonts w:ascii="宋体" w:hAnsi="宋体"/>
                <w:sz w:val="18"/>
                <w:szCs w:val="18"/>
              </w:rPr>
            </w:pPr>
            <w:r>
              <w:rPr>
                <w:rFonts w:hint="eastAsia" w:ascii="宋体" w:hAnsi="宋体"/>
                <w:sz w:val="18"/>
                <w:szCs w:val="18"/>
              </w:rPr>
              <w:t>椅面采用工程塑料人体工学设计，耐用环保，椅脚采用圆钢脚，舒适稳固。</w:t>
            </w:r>
          </w:p>
        </w:tc>
        <w:tc>
          <w:tcPr>
            <w:tcW w:w="556" w:type="dxa"/>
            <w:vAlign w:val="center"/>
          </w:tcPr>
          <w:p>
            <w:pPr>
              <w:jc w:val="center"/>
              <w:rPr>
                <w:rFonts w:ascii="宋体" w:hAnsi="宋体"/>
                <w:sz w:val="18"/>
                <w:szCs w:val="18"/>
              </w:rPr>
            </w:pPr>
            <w:r>
              <w:rPr>
                <w:rFonts w:hint="eastAsia" w:ascii="宋体" w:hAnsi="宋体"/>
                <w:sz w:val="18"/>
                <w:szCs w:val="18"/>
              </w:rPr>
              <w:t>12</w:t>
            </w:r>
          </w:p>
        </w:tc>
        <w:tc>
          <w:tcPr>
            <w:tcW w:w="556" w:type="dxa"/>
            <w:vAlign w:val="center"/>
          </w:tcPr>
          <w:p>
            <w:pPr>
              <w:jc w:val="center"/>
              <w:rPr>
                <w:rFonts w:ascii="宋体" w:hAnsi="宋体"/>
                <w:sz w:val="18"/>
                <w:szCs w:val="18"/>
              </w:rPr>
            </w:pPr>
            <w:r>
              <w:rPr>
                <w:rFonts w:hint="eastAsia" w:ascii="宋体" w:hAnsi="宋体"/>
                <w:sz w:val="18"/>
                <w:szCs w:val="18"/>
              </w:rPr>
              <w:t>把</w:t>
            </w:r>
          </w:p>
        </w:tc>
        <w:tc>
          <w:tcPr>
            <w:tcW w:w="116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jc w:val="center"/>
              <w:rPr>
                <w:rFonts w:ascii="宋体" w:hAnsi="宋体"/>
                <w:sz w:val="18"/>
                <w:szCs w:val="18"/>
              </w:rPr>
            </w:pPr>
            <w:r>
              <w:rPr>
                <w:rFonts w:hint="eastAsia" w:ascii="宋体" w:hAnsi="宋体"/>
                <w:sz w:val="18"/>
                <w:szCs w:val="18"/>
              </w:rPr>
              <w:t>教室办公桌</w:t>
            </w:r>
          </w:p>
        </w:tc>
        <w:tc>
          <w:tcPr>
            <w:tcW w:w="1084" w:type="dxa"/>
            <w:vAlign w:val="center"/>
          </w:tcPr>
          <w:p>
            <w:pPr>
              <w:jc w:val="center"/>
              <w:rPr>
                <w:rFonts w:ascii="宋体" w:hAnsi="宋体"/>
                <w:sz w:val="18"/>
                <w:szCs w:val="18"/>
              </w:rPr>
            </w:pPr>
            <w:r>
              <w:rPr>
                <w:rFonts w:ascii="宋体" w:hAnsi="宋体"/>
                <w:sz w:val="18"/>
                <w:szCs w:val="18"/>
              </w:rPr>
              <w:t>1</w:t>
            </w:r>
            <w:r>
              <w:rPr>
                <w:rStyle w:val="102"/>
                <w:rFonts w:hAnsi="宋体"/>
                <w:color w:val="auto"/>
              </w:rPr>
              <w:t>500</w:t>
            </w:r>
            <w:r>
              <w:rPr>
                <w:rStyle w:val="102"/>
                <w:rFonts w:hint="eastAsia" w:hAnsi="宋体"/>
                <w:color w:val="auto"/>
              </w:rPr>
              <w:t>×</w:t>
            </w:r>
            <w:r>
              <w:rPr>
                <w:rStyle w:val="102"/>
                <w:rFonts w:hAnsi="宋体"/>
                <w:color w:val="auto"/>
              </w:rPr>
              <w:t>700</w:t>
            </w:r>
            <w:r>
              <w:rPr>
                <w:rStyle w:val="102"/>
                <w:rFonts w:hint="eastAsia" w:hAnsi="宋体"/>
                <w:color w:val="auto"/>
              </w:rPr>
              <w:t>×</w:t>
            </w:r>
            <w:r>
              <w:rPr>
                <w:rStyle w:val="102"/>
                <w:rFonts w:hAnsi="宋体"/>
                <w:color w:val="auto"/>
              </w:rPr>
              <w:t>800</w:t>
            </w:r>
          </w:p>
        </w:tc>
        <w:tc>
          <w:tcPr>
            <w:tcW w:w="4784" w:type="dxa"/>
            <w:vAlign w:val="center"/>
          </w:tcPr>
          <w:p>
            <w:pPr>
              <w:rPr>
                <w:rFonts w:ascii="宋体" w:hAnsi="宋体"/>
                <w:sz w:val="18"/>
                <w:szCs w:val="18"/>
              </w:rPr>
            </w:pPr>
            <w:r>
              <w:rPr>
                <w:rFonts w:hint="eastAsia" w:ascii="宋体" w:hAnsi="宋体"/>
                <w:sz w:val="18"/>
                <w:szCs w:val="18"/>
              </w:rPr>
              <w:t>电镀铝合金桌脚结构，桌面采用优质防火板，基材采用</w:t>
            </w:r>
            <w:r>
              <w:rPr>
                <w:rFonts w:ascii="宋体" w:hAnsi="宋体"/>
                <w:sz w:val="18"/>
                <w:szCs w:val="18"/>
              </w:rPr>
              <w:t>25mm</w:t>
            </w:r>
            <w:r>
              <w:rPr>
                <w:rFonts w:hint="eastAsia" w:ascii="宋体" w:hAnsi="宋体"/>
                <w:sz w:val="18"/>
                <w:szCs w:val="18"/>
              </w:rPr>
              <w:t>厚</w:t>
            </w:r>
            <w:r>
              <w:rPr>
                <w:rFonts w:ascii="宋体" w:hAnsi="宋体"/>
                <w:sz w:val="18"/>
                <w:szCs w:val="18"/>
              </w:rPr>
              <w:t>E1</w:t>
            </w:r>
            <w:r>
              <w:rPr>
                <w:rFonts w:hint="eastAsia" w:ascii="宋体" w:hAnsi="宋体"/>
                <w:sz w:val="18"/>
                <w:szCs w:val="18"/>
              </w:rPr>
              <w:t>级三聚氰胺板，可见截面均经过</w:t>
            </w:r>
            <w:r>
              <w:rPr>
                <w:rFonts w:ascii="宋体" w:hAnsi="宋体"/>
                <w:sz w:val="18"/>
                <w:szCs w:val="18"/>
              </w:rPr>
              <w:t>PVC</w:t>
            </w:r>
            <w:r>
              <w:rPr>
                <w:rFonts w:hint="eastAsia" w:ascii="宋体" w:hAnsi="宋体"/>
                <w:sz w:val="18"/>
                <w:szCs w:val="18"/>
              </w:rPr>
              <w:t>封边，无死角，具有耐磨、耐刮、抗静电等特点，优质五金件。包含配套活动柜一组。</w:t>
            </w:r>
          </w:p>
        </w:tc>
        <w:tc>
          <w:tcPr>
            <w:tcW w:w="556" w:type="dxa"/>
            <w:vAlign w:val="center"/>
          </w:tcPr>
          <w:p>
            <w:pPr>
              <w:jc w:val="center"/>
              <w:rPr>
                <w:rFonts w:ascii="宋体" w:hAnsi="宋体"/>
                <w:sz w:val="18"/>
                <w:szCs w:val="18"/>
              </w:rPr>
            </w:pPr>
            <w:r>
              <w:rPr>
                <w:rFonts w:hint="eastAsia" w:ascii="宋体" w:hAnsi="宋体"/>
                <w:sz w:val="18"/>
                <w:szCs w:val="18"/>
              </w:rPr>
              <w:t>4</w:t>
            </w:r>
          </w:p>
        </w:tc>
        <w:tc>
          <w:tcPr>
            <w:tcW w:w="556" w:type="dxa"/>
            <w:vAlign w:val="center"/>
          </w:tcPr>
          <w:p>
            <w:pPr>
              <w:jc w:val="center"/>
              <w:rPr>
                <w:rFonts w:ascii="宋体" w:hAnsi="宋体"/>
                <w:sz w:val="18"/>
                <w:szCs w:val="18"/>
              </w:rPr>
            </w:pPr>
            <w:r>
              <w:rPr>
                <w:rFonts w:hint="eastAsia" w:ascii="宋体" w:hAnsi="宋体"/>
                <w:sz w:val="18"/>
                <w:szCs w:val="18"/>
              </w:rPr>
              <w:t>套</w:t>
            </w:r>
          </w:p>
        </w:tc>
        <w:tc>
          <w:tcPr>
            <w:tcW w:w="116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智能一体机</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≥75英寸</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1.屏幕尺寸：≥75英寸,显示比例16:9，亮度≥350cd/m2，对比度≥5000：1，可视角度≥178°；</w:t>
            </w:r>
            <w:r>
              <w:rPr>
                <w:rFonts w:hint="eastAsia" w:ascii="宋体" w:hAnsi="宋体"/>
                <w:kern w:val="0"/>
                <w:sz w:val="18"/>
                <w:szCs w:val="18"/>
              </w:rPr>
              <w:br w:type="textWrapping"/>
            </w:r>
            <w:r>
              <w:rPr>
                <w:rFonts w:hint="eastAsia" w:ascii="宋体" w:hAnsi="宋体"/>
                <w:kern w:val="0"/>
                <w:sz w:val="18"/>
                <w:szCs w:val="18"/>
              </w:rPr>
              <w:t>2.屏幕要求：图像物理高清分辨率1920×1080 （1:1 Map点对点显示）满足数字全高清1080P要求；</w:t>
            </w:r>
            <w:r>
              <w:rPr>
                <w:rFonts w:hint="eastAsia" w:ascii="宋体" w:hAnsi="宋体"/>
                <w:kern w:val="0"/>
                <w:sz w:val="18"/>
                <w:szCs w:val="18"/>
              </w:rPr>
              <w:br w:type="textWrapping"/>
            </w:r>
            <w:r>
              <w:rPr>
                <w:rFonts w:hint="eastAsia" w:ascii="宋体" w:hAnsi="宋体"/>
                <w:kern w:val="0"/>
                <w:sz w:val="18"/>
                <w:szCs w:val="18"/>
              </w:rPr>
              <w:t>3.输入端子:≥3路VGA；≥3路Audio；≥1路AV；≥3路HDMI；≥1路TV RF；≥3路TV 多媒体USB；≥1路RS232接口；≥1路RJ45。输出端子：≥1路耳机；≥1路VGA；≥1路同轴输出；4.采用非接触式红外十点以上触控技术，支持十点以上同时书写。</w:t>
            </w:r>
            <w:r>
              <w:rPr>
                <w:rFonts w:hint="eastAsia" w:ascii="宋体" w:hAnsi="宋体"/>
                <w:kern w:val="0"/>
                <w:sz w:val="18"/>
                <w:szCs w:val="18"/>
              </w:rPr>
              <w:br w:type="textWrapping"/>
            </w:r>
            <w:r>
              <w:rPr>
                <w:rFonts w:hint="eastAsia" w:ascii="宋体" w:hAnsi="宋体"/>
                <w:kern w:val="0"/>
                <w:sz w:val="18"/>
                <w:szCs w:val="18"/>
              </w:rPr>
              <w:t>5. 内置模块电脑, 内置高速WiFi无线，处理器：Intel Core i5,主频为双核四线程3.0GHz或以上；</w:t>
            </w:r>
            <w:r>
              <w:rPr>
                <w:rFonts w:hint="eastAsia" w:ascii="宋体" w:hAnsi="宋体"/>
                <w:kern w:val="0"/>
                <w:sz w:val="18"/>
                <w:szCs w:val="18"/>
              </w:rPr>
              <w:br w:type="textWrapping"/>
            </w:r>
            <w:r>
              <w:rPr>
                <w:rFonts w:hint="eastAsia" w:ascii="宋体" w:hAnsi="宋体"/>
                <w:kern w:val="0"/>
                <w:sz w:val="18"/>
                <w:szCs w:val="18"/>
              </w:rPr>
              <w:t>6.带原厂活动支架</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鸿合、希沃、峰宁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生物标本展示灯箱</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生物标本知识图文设计，木工板底衬不锈钢包边，亚克力灯箱片，含设计、安装</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3</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生物实验室配套地板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1、采用优质PVC地板及安装；2、地板厚度不低于2.0mm，面层耐磨层不低于0.5mm；底层为密实层带编织无纺布底，确保地板安装粘合更加牢固；地板中层必须有玻纤稳定层；共三层结构。</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jc w:val="center"/>
              <w:rPr>
                <w:rFonts w:ascii="宋体" w:hAnsi="宋体"/>
                <w:sz w:val="18"/>
                <w:szCs w:val="18"/>
              </w:rPr>
            </w:pPr>
            <w:r>
              <w:rPr>
                <w:rFonts w:ascii="宋体" w:hAnsi="宋体"/>
                <w:sz w:val="18"/>
                <w:szCs w:val="18"/>
              </w:rPr>
              <w:t>LG</w:t>
            </w:r>
            <w:r>
              <w:rPr>
                <w:rFonts w:hint="eastAsia" w:ascii="宋体" w:hAnsi="宋体"/>
                <w:sz w:val="18"/>
                <w:szCs w:val="18"/>
              </w:rPr>
              <w:t>、丽杰、阿姆斯壮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jc w:val="center"/>
              <w:rPr>
                <w:rFonts w:ascii="宋体" w:hAnsi="宋体"/>
                <w:sz w:val="18"/>
                <w:szCs w:val="18"/>
              </w:rPr>
            </w:pPr>
            <w:r>
              <w:rPr>
                <w:rFonts w:hint="eastAsia" w:ascii="宋体" w:hAnsi="宋体"/>
                <w:sz w:val="18"/>
                <w:szCs w:val="18"/>
              </w:rPr>
              <w:t>配套部分吊顶</w:t>
            </w:r>
          </w:p>
        </w:tc>
        <w:tc>
          <w:tcPr>
            <w:tcW w:w="1084" w:type="dxa"/>
            <w:vAlign w:val="center"/>
          </w:tcPr>
          <w:p>
            <w:pPr>
              <w:jc w:val="center"/>
              <w:rPr>
                <w:rFonts w:ascii="宋体" w:hAnsi="宋体"/>
                <w:sz w:val="18"/>
                <w:szCs w:val="18"/>
              </w:rPr>
            </w:pPr>
          </w:p>
        </w:tc>
        <w:tc>
          <w:tcPr>
            <w:tcW w:w="4784" w:type="dxa"/>
            <w:vAlign w:val="center"/>
          </w:tcPr>
          <w:p>
            <w:pPr>
              <w:rPr>
                <w:rFonts w:ascii="宋体" w:hAnsi="宋体"/>
                <w:sz w:val="18"/>
                <w:szCs w:val="18"/>
              </w:rPr>
            </w:pPr>
            <w:r>
              <w:rPr>
                <w:rFonts w:hint="eastAsia" w:ascii="宋体" w:hAnsi="宋体"/>
                <w:sz w:val="18"/>
                <w:szCs w:val="18"/>
              </w:rPr>
              <w:t>满足设计效果的整体配套，石膏板造型吊顶相结合。</w:t>
            </w:r>
          </w:p>
        </w:tc>
        <w:tc>
          <w:tcPr>
            <w:tcW w:w="556" w:type="dxa"/>
            <w:vAlign w:val="center"/>
          </w:tcPr>
          <w:p>
            <w:pPr>
              <w:jc w:val="center"/>
              <w:rPr>
                <w:rFonts w:ascii="宋体" w:hAnsi="宋体"/>
                <w:sz w:val="18"/>
                <w:szCs w:val="18"/>
              </w:rPr>
            </w:pPr>
            <w:r>
              <w:rPr>
                <w:rFonts w:hint="eastAsia" w:ascii="宋体" w:hAnsi="宋体"/>
                <w:sz w:val="18"/>
                <w:szCs w:val="18"/>
              </w:rPr>
              <w:t>40</w:t>
            </w:r>
          </w:p>
        </w:tc>
        <w:tc>
          <w:tcPr>
            <w:tcW w:w="556" w:type="dxa"/>
            <w:vAlign w:val="center"/>
          </w:tcPr>
          <w:p>
            <w:pPr>
              <w:jc w:val="center"/>
              <w:rPr>
                <w:rFonts w:ascii="宋体" w:hAnsi="宋体"/>
                <w:sz w:val="18"/>
                <w:szCs w:val="18"/>
              </w:rPr>
            </w:pPr>
            <w:r>
              <w:rPr>
                <w:rFonts w:hint="eastAsia" w:ascii="宋体" w:hAnsi="宋体"/>
                <w:sz w:val="18"/>
                <w:szCs w:val="18"/>
              </w:rPr>
              <w:t>㎡</w:t>
            </w:r>
          </w:p>
        </w:tc>
        <w:tc>
          <w:tcPr>
            <w:tcW w:w="1168" w:type="dxa"/>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天花批灰油乳胶漆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双飞粉、环保108胶水、熟胶粉、批灰二遍、打磨二遍、面刷立邦乳胶漆三遍。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jc w:val="center"/>
              <w:rPr>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墙面乳胶漆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内容包括墙面修复、底面刮灰、面涂彩色立邦涂料，二底二面。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108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jc w:val="center"/>
              <w:rPr>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立式空调</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5P及以上</w:t>
            </w:r>
            <w:r>
              <w:rPr>
                <w:rFonts w:hint="eastAsia" w:ascii="宋体" w:hAnsi="宋体"/>
                <w:kern w:val="0"/>
                <w:sz w:val="18"/>
                <w:szCs w:val="18"/>
              </w:rPr>
              <w:br w:type="textWrapping"/>
            </w:r>
            <w:r>
              <w:rPr>
                <w:rFonts w:hint="eastAsia" w:ascii="宋体" w:hAnsi="宋体"/>
                <w:kern w:val="0"/>
                <w:sz w:val="18"/>
                <w:szCs w:val="18"/>
              </w:rPr>
              <w:t>冷暖</w:t>
            </w:r>
            <w:r>
              <w:rPr>
                <w:rFonts w:hint="eastAsia" w:ascii="宋体" w:hAnsi="宋体"/>
                <w:kern w:val="0"/>
                <w:sz w:val="18"/>
                <w:szCs w:val="18"/>
              </w:rPr>
              <w:br w:type="textWrapping"/>
            </w:r>
            <w:r>
              <w:rPr>
                <w:rFonts w:hint="eastAsia" w:ascii="宋体" w:hAnsi="宋体"/>
                <w:kern w:val="0"/>
                <w:sz w:val="18"/>
                <w:szCs w:val="18"/>
              </w:rPr>
              <w:t>定频</w:t>
            </w:r>
            <w:r>
              <w:rPr>
                <w:rFonts w:hint="eastAsia" w:ascii="宋体" w:hAnsi="宋体"/>
                <w:kern w:val="0"/>
                <w:sz w:val="18"/>
                <w:szCs w:val="18"/>
              </w:rPr>
              <w:br w:type="textWrapping"/>
            </w:r>
            <w:r>
              <w:rPr>
                <w:rFonts w:hint="eastAsia" w:ascii="宋体" w:hAnsi="宋体"/>
                <w:kern w:val="0"/>
                <w:sz w:val="18"/>
                <w:szCs w:val="18"/>
              </w:rPr>
              <w:t>电辅加热</w:t>
            </w:r>
            <w:r>
              <w:rPr>
                <w:rFonts w:hint="eastAsia" w:ascii="宋体" w:hAnsi="宋体"/>
                <w:kern w:val="0"/>
                <w:sz w:val="18"/>
                <w:szCs w:val="18"/>
              </w:rPr>
              <w:br w:type="textWrapping"/>
            </w:r>
            <w:r>
              <w:rPr>
                <w:rFonts w:hint="eastAsia" w:ascii="宋体" w:hAnsi="宋体"/>
                <w:kern w:val="0"/>
                <w:sz w:val="18"/>
                <w:szCs w:val="18"/>
              </w:rPr>
              <w:t>制冷量(W)：12000</w:t>
            </w:r>
            <w:r>
              <w:rPr>
                <w:rFonts w:hint="eastAsia" w:ascii="宋体" w:hAnsi="宋体"/>
                <w:kern w:val="0"/>
                <w:sz w:val="18"/>
                <w:szCs w:val="18"/>
              </w:rPr>
              <w:br w:type="textWrapping"/>
            </w:r>
            <w:r>
              <w:rPr>
                <w:rFonts w:hint="eastAsia" w:ascii="宋体" w:hAnsi="宋体"/>
                <w:kern w:val="0"/>
                <w:sz w:val="18"/>
                <w:szCs w:val="18"/>
              </w:rPr>
              <w:t>制冷功率(W)：3680</w:t>
            </w:r>
            <w:r>
              <w:rPr>
                <w:rFonts w:hint="eastAsia" w:ascii="宋体" w:hAnsi="宋体"/>
                <w:kern w:val="0"/>
                <w:sz w:val="18"/>
                <w:szCs w:val="18"/>
              </w:rPr>
              <w:br w:type="textWrapping"/>
            </w:r>
            <w:r>
              <w:rPr>
                <w:rFonts w:hint="eastAsia" w:ascii="宋体" w:hAnsi="宋体"/>
                <w:kern w:val="0"/>
                <w:sz w:val="18"/>
                <w:szCs w:val="18"/>
              </w:rPr>
              <w:t>制热量(W)：14000</w:t>
            </w:r>
            <w:r>
              <w:rPr>
                <w:rFonts w:hint="eastAsia" w:ascii="宋体" w:hAnsi="宋体"/>
                <w:kern w:val="0"/>
                <w:sz w:val="18"/>
                <w:szCs w:val="18"/>
              </w:rPr>
              <w:br w:type="textWrapping"/>
            </w:r>
            <w:r>
              <w:rPr>
                <w:rFonts w:hint="eastAsia" w:ascii="宋体" w:hAnsi="宋体"/>
                <w:kern w:val="0"/>
                <w:sz w:val="18"/>
                <w:szCs w:val="18"/>
              </w:rPr>
              <w:t>制热功率(W)：3950</w:t>
            </w:r>
            <w:r>
              <w:rPr>
                <w:rFonts w:hint="eastAsia" w:ascii="宋体" w:hAnsi="宋体"/>
                <w:kern w:val="0"/>
                <w:sz w:val="18"/>
                <w:szCs w:val="18"/>
              </w:rPr>
              <w:br w:type="textWrapping"/>
            </w:r>
            <w:r>
              <w:rPr>
                <w:rFonts w:hint="eastAsia" w:ascii="宋体" w:hAnsi="宋体"/>
                <w:kern w:val="0"/>
                <w:sz w:val="18"/>
                <w:szCs w:val="18"/>
              </w:rPr>
              <w:t>电辅加热功率(W)：3500</w:t>
            </w:r>
            <w:r>
              <w:rPr>
                <w:rFonts w:hint="eastAsia" w:ascii="宋体" w:hAnsi="宋体"/>
                <w:kern w:val="0"/>
                <w:sz w:val="18"/>
                <w:szCs w:val="18"/>
              </w:rPr>
              <w:br w:type="textWrapping"/>
            </w:r>
            <w:r>
              <w:rPr>
                <w:rFonts w:hint="eastAsia" w:ascii="宋体" w:hAnsi="宋体"/>
                <w:kern w:val="0"/>
                <w:sz w:val="18"/>
                <w:szCs w:val="18"/>
              </w:rPr>
              <w:t>内机噪音(dB(A)：51/46/41</w:t>
            </w:r>
            <w:r>
              <w:rPr>
                <w:rFonts w:hint="eastAsia" w:ascii="宋体" w:hAnsi="宋体"/>
                <w:kern w:val="0"/>
                <w:sz w:val="18"/>
                <w:szCs w:val="18"/>
              </w:rPr>
              <w:br w:type="textWrapping"/>
            </w:r>
            <w:r>
              <w:rPr>
                <w:rFonts w:hint="eastAsia" w:ascii="宋体" w:hAnsi="宋体"/>
                <w:kern w:val="0"/>
                <w:sz w:val="18"/>
                <w:szCs w:val="18"/>
              </w:rPr>
              <w:t>外机噪音(dB(A)：58</w:t>
            </w:r>
            <w:r>
              <w:rPr>
                <w:rFonts w:hint="eastAsia" w:ascii="宋体" w:hAnsi="宋体"/>
                <w:kern w:val="0"/>
                <w:sz w:val="18"/>
                <w:szCs w:val="18"/>
              </w:rPr>
              <w:br w:type="textWrapping"/>
            </w:r>
            <w:r>
              <w:rPr>
                <w:rFonts w:hint="eastAsia" w:ascii="宋体" w:hAnsi="宋体"/>
                <w:kern w:val="0"/>
                <w:sz w:val="18"/>
                <w:szCs w:val="18"/>
              </w:rPr>
              <w:t>定频机能效比：3.19</w:t>
            </w:r>
            <w:r>
              <w:rPr>
                <w:rFonts w:hint="eastAsia" w:ascii="宋体" w:hAnsi="宋体"/>
                <w:kern w:val="0"/>
                <w:sz w:val="18"/>
                <w:szCs w:val="18"/>
              </w:rPr>
              <w:br w:type="textWrapping"/>
            </w:r>
            <w:r>
              <w:rPr>
                <w:rFonts w:hint="eastAsia" w:ascii="宋体" w:hAnsi="宋体"/>
                <w:kern w:val="0"/>
                <w:sz w:val="18"/>
                <w:szCs w:val="18"/>
              </w:rPr>
              <w:t>循环风量(m3/h)：2000</w:t>
            </w:r>
            <w:r>
              <w:rPr>
                <w:rFonts w:hint="eastAsia" w:ascii="宋体" w:hAnsi="宋体"/>
                <w:kern w:val="0"/>
                <w:sz w:val="18"/>
                <w:szCs w:val="18"/>
              </w:rPr>
              <w:br w:type="textWrapping"/>
            </w:r>
            <w:r>
              <w:rPr>
                <w:rFonts w:hint="eastAsia" w:ascii="宋体" w:hAnsi="宋体"/>
                <w:kern w:val="0"/>
                <w:sz w:val="18"/>
                <w:szCs w:val="18"/>
              </w:rPr>
              <w:t>上下/左右扫风</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空调辅材及安装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包含：连机铜管、电源线、PVC排水管、吊杆、支架。人工费、安装费等辅助。</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配套电路系统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生物实验室电线铺设及穿管布线等，BV2.5国标单芯电缆，含室内设备及照明电源供应。</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250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熊猫、起帆、正泰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插座及开关</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配套品牌开关插座及设备优质地插座</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TCL罗格朗、西门子、世耐尔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综合地面开槽及修复</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原墙体、地面局部开槽及修复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30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配套LED照明系统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生物实验室配套照明灯具及安装</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光宏、顺冠、欧普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安装辅材</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配套安装辅材、连接件、安装配件等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综合清运及成品保护</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垃圾清理及材料搬运等人工，含成品保护；</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bottom"/>
          </w:tcPr>
          <w:p>
            <w:pPr>
              <w:widowControl/>
              <w:jc w:val="left"/>
              <w:rPr>
                <w:rFonts w:ascii="宋体" w:hAnsi="宋体"/>
                <w:b/>
                <w:bCs/>
                <w:kern w:val="0"/>
                <w:sz w:val="18"/>
                <w:szCs w:val="18"/>
              </w:rPr>
            </w:pPr>
            <w:r>
              <w:rPr>
                <w:rFonts w:hint="eastAsia" w:ascii="宋体" w:hAnsi="宋体"/>
                <w:b/>
                <w:bCs/>
                <w:kern w:val="0"/>
                <w:sz w:val="18"/>
                <w:szCs w:val="18"/>
              </w:rPr>
              <w:t xml:space="preserve">七、生物数字化探究实验室 </w:t>
            </w: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bottom"/>
          </w:tcPr>
          <w:p>
            <w:pPr>
              <w:widowControl/>
              <w:jc w:val="center"/>
              <w:rPr>
                <w:rFonts w:ascii="宋体" w:hAnsi="宋体"/>
                <w:b/>
                <w:bCs/>
                <w:kern w:val="0"/>
                <w:sz w:val="18"/>
                <w:szCs w:val="18"/>
              </w:rPr>
            </w:pPr>
            <w:r>
              <w:rPr>
                <w:rFonts w:hint="eastAsia" w:ascii="宋体" w:hAnsi="宋体"/>
                <w:b/>
                <w:bCs/>
                <w:kern w:val="0"/>
                <w:sz w:val="18"/>
                <w:szCs w:val="18"/>
              </w:rPr>
              <w:t>（一）数字化/数码互动模块</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b/>
                <w:bCs/>
                <w:kern w:val="0"/>
                <w:sz w:val="18"/>
                <w:szCs w:val="18"/>
              </w:rPr>
            </w:pPr>
            <w:r>
              <w:rPr>
                <w:rFonts w:hint="eastAsia" w:ascii="宋体" w:hAnsi="宋体"/>
                <w:b/>
                <w:bCs/>
                <w:kern w:val="0"/>
                <w:sz w:val="18"/>
                <w:szCs w:val="18"/>
              </w:rPr>
              <w:t>教师用生物数码显微镜（投标时提供样品演示）</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1．目镜：高眼点大视野平场目镜PL10X，视场范围≧22mm，视度可调，可实现明场、暗场、简易相衬、简易偏光等多种观察术。高眼点设计，适合戴眼镜的人直接观察。显微镜目镜放大率准确度≤±0.6%。</w:t>
            </w:r>
            <w:r>
              <w:rPr>
                <w:rFonts w:hint="eastAsia" w:ascii="宋体" w:hAnsi="宋体"/>
                <w:kern w:val="0"/>
                <w:sz w:val="18"/>
                <w:szCs w:val="18"/>
              </w:rPr>
              <w:br w:type="textWrapping"/>
            </w:r>
            <w:r>
              <w:rPr>
                <w:rFonts w:hint="eastAsia" w:ascii="宋体" w:hAnsi="宋体"/>
                <w:kern w:val="0"/>
                <w:sz w:val="18"/>
                <w:szCs w:val="18"/>
              </w:rPr>
              <w:t>2. 物镜：无限远平场消色差物镜4X/0.10，（成像圆直径≥17.3）；10X/0.25，（成像圆直径≥17.8）；40X/0.65，（成像圆直径≥18.9）；100X/1.25，（成像圆直径≥18.7）10倍物镜景深范围内像面的偏摆≤0.02mm,显微镜物镜放大率准确度≤±0.85%。显微镜物镜放大准确率≤±0.86</w:t>
            </w:r>
            <w:r>
              <w:rPr>
                <w:rFonts w:hint="eastAsia" w:ascii="宋体" w:hAnsi="宋体"/>
                <w:kern w:val="0"/>
                <w:sz w:val="18"/>
                <w:szCs w:val="18"/>
              </w:rPr>
              <w:br w:type="textWrapping"/>
            </w:r>
            <w:r>
              <w:rPr>
                <w:rFonts w:hint="eastAsia" w:ascii="宋体" w:hAnsi="宋体"/>
                <w:kern w:val="0"/>
                <w:sz w:val="18"/>
                <w:szCs w:val="18"/>
              </w:rPr>
              <w:t>3. 观察头：30度观察头，铰链式双目360度旋转，在标准65mm瞳距时，可将眼点从397mm提升至431mm，便于教师站立上课，（提供实物图片，固定式目镜筒，瞳距调节范围50-75mm。倾斜式目镜筒作360度旋转时目镜焦平面上像中心的位移≤0.15mm，左右系统放大率差≤±0.24%，左右光学系统像面方位差≤21，左右视场中心偏差上下≤0.04mm、左右内侧≤0.03mm，左右光轴平行度垂直交叉≤6分，零视度时，左右系统的目镜端面位置差≤0.07mm。</w:t>
            </w:r>
            <w:r>
              <w:rPr>
                <w:rFonts w:hint="eastAsia" w:ascii="宋体" w:hAnsi="宋体"/>
                <w:kern w:val="0"/>
                <w:sz w:val="18"/>
                <w:szCs w:val="18"/>
              </w:rPr>
              <w:br w:type="textWrapping"/>
            </w:r>
            <w:r>
              <w:rPr>
                <w:rFonts w:hint="eastAsia" w:ascii="宋体" w:hAnsi="宋体"/>
                <w:kern w:val="0"/>
                <w:sz w:val="18"/>
                <w:szCs w:val="18"/>
              </w:rPr>
              <w:t>4.镜体：低手位粗微同轴调焦机构，带有防止下滑的松紧调节装置和防止打坏切片的上限位装置，镜体为一体化全金属高压模铸而成。整机外观采用最新的表面喷粉技术，粗调行程≧30mm。镜体后侧设计了手提搬运机构。微调机构空回≤0.005mm。</w:t>
            </w:r>
            <w:r>
              <w:rPr>
                <w:rFonts w:hint="eastAsia" w:ascii="宋体" w:hAnsi="宋体"/>
                <w:kern w:val="0"/>
                <w:sz w:val="18"/>
                <w:szCs w:val="18"/>
              </w:rPr>
              <w:br w:type="textWrapping"/>
            </w:r>
            <w:r>
              <w:rPr>
                <w:rFonts w:hint="eastAsia" w:ascii="宋体" w:hAnsi="宋体"/>
                <w:kern w:val="0"/>
                <w:sz w:val="18"/>
                <w:szCs w:val="18"/>
              </w:rPr>
              <w:t>5.照明系统：连续可调节的色温装置，可以实时在液晶显示屏观察到色温数值，能使显微镜适应不同观测环境，满足不同的应用领域需要，得到较佳观察效果。色温可调范围：3000-5600K，最小步进值100K。实现传统卤素灯到LED光源连续可调，便于观察。电器泄露电流≤0.026</w:t>
            </w:r>
            <w:r>
              <w:rPr>
                <w:rFonts w:hint="eastAsia" w:ascii="宋体" w:hAnsi="宋体"/>
                <w:kern w:val="0"/>
                <w:sz w:val="18"/>
                <w:szCs w:val="18"/>
              </w:rPr>
              <w:br w:type="textWrapping"/>
            </w:r>
            <w:r>
              <w:rPr>
                <w:rFonts w:hint="eastAsia" w:ascii="宋体" w:hAnsi="宋体"/>
                <w:kern w:val="0"/>
                <w:sz w:val="18"/>
                <w:szCs w:val="18"/>
              </w:rPr>
              <w:t>6. 转换器：内倾式编码转换器≥5孔。可实现物镜照明记忆功能：自动记忆上一次观察的亮度并在下次使用该物镜时自动调出，免除再次手动设定或调整的繁琐。转换器稳定性≤0.005㎜</w:t>
            </w:r>
            <w:r>
              <w:rPr>
                <w:rFonts w:hint="eastAsia" w:ascii="宋体" w:hAnsi="宋体"/>
                <w:kern w:val="0"/>
                <w:sz w:val="18"/>
                <w:szCs w:val="18"/>
              </w:rPr>
              <w:br w:type="textWrapping"/>
            </w:r>
            <w:r>
              <w:rPr>
                <w:rFonts w:hint="eastAsia" w:ascii="宋体" w:hAnsi="宋体"/>
                <w:kern w:val="0"/>
                <w:sz w:val="18"/>
                <w:szCs w:val="18"/>
              </w:rPr>
              <w:t>7. 载物台：双层复合机械移动平台,钢丝传动、支持双切片（载玻片）夹，无突出的棱角和齿轮，避免意外误触和伤害手指；平台尺寸，150mmX162mm,移动范围:76mmX50mm;精度0.1mm; 载物台侧向受5N水平方向作用力最大位移≤0.012㎜、不重复性小于等于0.003㎜，</w:t>
            </w:r>
            <w:r>
              <w:rPr>
                <w:rFonts w:hint="eastAsia" w:ascii="宋体" w:hAnsi="宋体"/>
                <w:kern w:val="0"/>
                <w:sz w:val="18"/>
                <w:szCs w:val="18"/>
              </w:rPr>
              <w:br w:type="textWrapping"/>
            </w:r>
            <w:r>
              <w:rPr>
                <w:rFonts w:hint="eastAsia" w:ascii="宋体" w:hAnsi="宋体"/>
                <w:kern w:val="0"/>
                <w:sz w:val="18"/>
                <w:szCs w:val="18"/>
              </w:rPr>
              <w:t>8.聚光镜：N.A.1.25柯拉照明聚光镜组（带插板式的相衬、暗场附件接口），拨盘式可变孔径光阑，燕尾式插槽，齿轮子齿条升降。</w:t>
            </w:r>
            <w:r>
              <w:rPr>
                <w:rFonts w:hint="eastAsia" w:ascii="宋体" w:hAnsi="宋体"/>
                <w:kern w:val="0"/>
                <w:sz w:val="18"/>
                <w:szCs w:val="18"/>
              </w:rPr>
              <w:br w:type="textWrapping"/>
            </w:r>
            <w:r>
              <w:rPr>
                <w:rFonts w:hint="eastAsia" w:ascii="宋体" w:hAnsi="宋体"/>
                <w:kern w:val="0"/>
                <w:sz w:val="18"/>
                <w:szCs w:val="18"/>
              </w:rPr>
              <w:t>9. 内置数码一体化300万像素 ，摄影摄像视场清晰范围不小于90%；</w:t>
            </w:r>
            <w:r>
              <w:rPr>
                <w:rFonts w:hint="eastAsia" w:ascii="宋体" w:hAnsi="宋体"/>
                <w:kern w:val="0"/>
                <w:sz w:val="18"/>
                <w:szCs w:val="18"/>
              </w:rPr>
              <w:br w:type="textWrapping"/>
            </w:r>
            <w:r>
              <w:rPr>
                <w:rFonts w:hint="eastAsia" w:ascii="宋体" w:hAnsi="宋体"/>
                <w:sz w:val="18"/>
                <w:szCs w:val="18"/>
              </w:rPr>
              <w:t>▲10.相关控制软件必须是产品制造企业独立自主研发的正版软件，提供软件著作权证书复印件。</w:t>
            </w:r>
            <w:r>
              <w:rPr>
                <w:rFonts w:hint="eastAsia" w:ascii="宋体" w:hAnsi="宋体"/>
                <w:sz w:val="18"/>
                <w:szCs w:val="18"/>
              </w:rPr>
              <w:br w:type="textWrapping"/>
            </w:r>
            <w:r>
              <w:rPr>
                <w:rFonts w:hint="eastAsia" w:ascii="宋体" w:hAnsi="宋体"/>
                <w:sz w:val="18"/>
                <w:szCs w:val="18"/>
              </w:rPr>
              <w:t>▲11.通过ISO9001、ISO13485、ISO14001、OHSAS18001体系认证。（须提供相关证书复印件，每项得 0.25分，最高得分1分）</w:t>
            </w:r>
            <w:r>
              <w:rPr>
                <w:rFonts w:hint="eastAsia" w:ascii="宋体" w:hAnsi="宋体"/>
                <w:sz w:val="18"/>
                <w:szCs w:val="18"/>
              </w:rPr>
              <w:br w:type="textWrapping"/>
            </w:r>
            <w:r>
              <w:rPr>
                <w:rFonts w:hint="eastAsia" w:ascii="宋体" w:hAnsi="宋体"/>
                <w:sz w:val="18"/>
                <w:szCs w:val="18"/>
              </w:rPr>
              <w:t>▲12.所采用零部件和生产过程，需对有害物质过程管理进行严格控制，符合中华人民共和国《电器电子产品有害物质限制使用管理办法》（令第32号）的要求，提供IECQ符合性证书</w:t>
            </w:r>
            <w:r>
              <w:rPr>
                <w:rFonts w:hint="eastAsia" w:ascii="宋体" w:hAnsi="宋体"/>
                <w:sz w:val="18"/>
                <w:szCs w:val="18"/>
                <w:lang w:val="en-US" w:eastAsia="zh-CN"/>
              </w:rPr>
              <w:t>复印件，</w:t>
            </w:r>
            <w:r>
              <w:rPr>
                <w:rFonts w:hint="eastAsia" w:ascii="宋体" w:hAnsi="宋体"/>
                <w:sz w:val="18"/>
                <w:szCs w:val="18"/>
              </w:rPr>
              <w:t>加盖</w:t>
            </w:r>
            <w:r>
              <w:rPr>
                <w:rFonts w:hint="eastAsia" w:ascii="宋体" w:hAnsi="宋体"/>
                <w:sz w:val="18"/>
                <w:szCs w:val="18"/>
                <w:lang w:val="en-US" w:eastAsia="zh-CN"/>
              </w:rPr>
              <w:t>原</w:t>
            </w:r>
            <w:r>
              <w:rPr>
                <w:rFonts w:hint="eastAsia" w:ascii="宋体" w:hAnsi="宋体"/>
                <w:sz w:val="18"/>
                <w:szCs w:val="18"/>
              </w:rPr>
              <w:t>厂家公章</w:t>
            </w:r>
            <w:r>
              <w:rPr>
                <w:rFonts w:hint="eastAsia" w:ascii="宋体" w:hAnsi="宋体"/>
                <w:sz w:val="18"/>
                <w:szCs w:val="18"/>
              </w:rPr>
              <w:br w:type="textWrapping"/>
            </w:r>
            <w:r>
              <w:rPr>
                <w:rFonts w:hint="eastAsia" w:ascii="宋体" w:hAnsi="宋体"/>
                <w:sz w:val="18"/>
                <w:szCs w:val="18"/>
              </w:rPr>
              <w:t>▲13．提供</w:t>
            </w:r>
            <w:r>
              <w:rPr>
                <w:rFonts w:hint="eastAsia" w:ascii="宋体" w:hAnsi="宋体"/>
                <w:sz w:val="18"/>
                <w:szCs w:val="18"/>
                <w:lang w:val="en-US" w:eastAsia="zh-CN"/>
              </w:rPr>
              <w:t>检测机构</w:t>
            </w:r>
            <w:r>
              <w:rPr>
                <w:rFonts w:hint="eastAsia" w:ascii="宋体" w:hAnsi="宋体"/>
                <w:sz w:val="18"/>
                <w:szCs w:val="18"/>
              </w:rPr>
              <w:t>出具的显微镜检测报告复印件加盖</w:t>
            </w:r>
            <w:r>
              <w:rPr>
                <w:rFonts w:hint="eastAsia" w:ascii="宋体" w:hAnsi="宋体"/>
                <w:sz w:val="18"/>
                <w:szCs w:val="18"/>
                <w:lang w:val="en-US" w:eastAsia="zh-CN"/>
              </w:rPr>
              <w:t>原</w:t>
            </w:r>
            <w:r>
              <w:rPr>
                <w:rFonts w:hint="eastAsia" w:ascii="宋体" w:hAnsi="宋体"/>
                <w:sz w:val="18"/>
                <w:szCs w:val="18"/>
              </w:rPr>
              <w:t>厂家公章证明相关参数</w:t>
            </w:r>
            <w:r>
              <w:rPr>
                <w:rFonts w:hint="eastAsia" w:ascii="宋体" w:hAnsi="宋体"/>
                <w:kern w:val="0"/>
                <w:sz w:val="18"/>
                <w:szCs w:val="18"/>
              </w:rPr>
              <w:br w:type="textWrapping"/>
            </w:r>
            <w:r>
              <w:rPr>
                <w:rFonts w:hint="eastAsia" w:ascii="宋体" w:hAnsi="宋体"/>
                <w:kern w:val="0"/>
                <w:sz w:val="18"/>
                <w:szCs w:val="18"/>
              </w:rPr>
              <w:t>14提供原厂授权书及原厂售后服务承诺函原件（合同签订前）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学生用生物数码显微镜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整机金属结构</w:t>
            </w:r>
            <w:r>
              <w:rPr>
                <w:rFonts w:hint="eastAsia" w:ascii="宋体" w:hAnsi="宋体"/>
                <w:kern w:val="0"/>
                <w:sz w:val="18"/>
                <w:szCs w:val="18"/>
              </w:rPr>
              <w:br w:type="textWrapping"/>
            </w:r>
            <w:r>
              <w:rPr>
                <w:rFonts w:hint="eastAsia" w:ascii="宋体" w:hAnsi="宋体"/>
                <w:kern w:val="0"/>
                <w:sz w:val="18"/>
                <w:szCs w:val="18"/>
              </w:rPr>
              <w:t>1、 目镜：大视野平场目镜PL10X/18mm，目镜放大准确率≤±0.5%</w:t>
            </w:r>
            <w:r>
              <w:rPr>
                <w:rFonts w:hint="eastAsia" w:ascii="宋体" w:hAnsi="宋体"/>
                <w:kern w:val="0"/>
                <w:sz w:val="18"/>
                <w:szCs w:val="18"/>
              </w:rPr>
              <w:br w:type="textWrapping"/>
            </w:r>
            <w:r>
              <w:rPr>
                <w:rFonts w:hint="eastAsia" w:ascii="宋体" w:hAnsi="宋体"/>
                <w:kern w:val="0"/>
                <w:sz w:val="18"/>
                <w:szCs w:val="18"/>
              </w:rPr>
              <w:t>2、 物镜：平场消色差物镜4X;10X;40 100XS/1.25(油），物镜放大准确率≤±1.5%</w:t>
            </w:r>
            <w:r>
              <w:rPr>
                <w:rFonts w:hint="eastAsia" w:ascii="宋体" w:hAnsi="宋体"/>
                <w:kern w:val="0"/>
                <w:sz w:val="18"/>
                <w:szCs w:val="18"/>
              </w:rPr>
              <w:br w:type="textWrapping"/>
            </w:r>
            <w:r>
              <w:rPr>
                <w:rFonts w:hint="eastAsia" w:ascii="宋体" w:hAnsi="宋体"/>
                <w:kern w:val="0"/>
                <w:sz w:val="18"/>
                <w:szCs w:val="18"/>
              </w:rPr>
              <w:t>3、 ●观察头：30度倾斜，瞳距可调50-75mm，视度可调±5屈光度。目镜筒作360°旋转时目镜焦平面上像中心的位移≤0.1㎜；左右两系统放大率差≤0.35%</w:t>
            </w:r>
            <w:r>
              <w:rPr>
                <w:rFonts w:hint="eastAsia" w:ascii="宋体" w:hAnsi="宋体"/>
                <w:kern w:val="0"/>
                <w:sz w:val="18"/>
                <w:szCs w:val="18"/>
              </w:rPr>
              <w:br w:type="textWrapping"/>
            </w:r>
            <w:r>
              <w:rPr>
                <w:rFonts w:hint="eastAsia" w:ascii="宋体" w:hAnsi="宋体"/>
                <w:kern w:val="0"/>
                <w:sz w:val="18"/>
                <w:szCs w:val="18"/>
              </w:rPr>
              <w:t>4、 转换器：内定位四孔物镜转换器，转换器稳定性≤0.01，朝镜臂内安装，镜臂镂空设计减少机身重量，镂空部位构成左右扶手，单手可搬运，外观采用纯白底色。</w:t>
            </w:r>
            <w:r>
              <w:rPr>
                <w:rFonts w:hint="eastAsia" w:ascii="宋体" w:hAnsi="宋体"/>
                <w:kern w:val="0"/>
                <w:sz w:val="18"/>
                <w:szCs w:val="18"/>
              </w:rPr>
              <w:br w:type="textWrapping"/>
            </w:r>
            <w:r>
              <w:rPr>
                <w:rFonts w:hint="eastAsia" w:ascii="宋体" w:hAnsi="宋体"/>
                <w:kern w:val="0"/>
                <w:sz w:val="18"/>
                <w:szCs w:val="18"/>
              </w:rPr>
              <w:t>5、 载物台：复合式机械移动载物台不小于140×130mm，移动平台边缘采用倒圆角处理，有效防止意外碰撞引起的损伤。右手低手位同轴调节，带限位装置，具有切片保护功能。平台移动范围不小于76mm（X）×50（Y）mm，精度0.1mm。载物台侧向受5N水平方向作用力最大位移≤0.02，不重复性≤0.003</w:t>
            </w:r>
            <w:r>
              <w:rPr>
                <w:rFonts w:hint="eastAsia" w:ascii="宋体" w:hAnsi="宋体"/>
                <w:kern w:val="0"/>
                <w:sz w:val="18"/>
                <w:szCs w:val="18"/>
              </w:rPr>
              <w:br w:type="textWrapping"/>
            </w:r>
            <w:r>
              <w:rPr>
                <w:rFonts w:hint="eastAsia" w:ascii="宋体" w:hAnsi="宋体"/>
                <w:kern w:val="0"/>
                <w:sz w:val="18"/>
                <w:szCs w:val="18"/>
              </w:rPr>
              <w:t>6、 聚光镜：预置中心阿贝式聚光镜N.A1.25，防拆卸设计，保证聚光镜处于正确的出厂设置。聚光镜带可变孔径光阑，并装有滤色片托架，以适应生物学不同标本的背光照明，提高成像对比度。</w:t>
            </w:r>
            <w:r>
              <w:rPr>
                <w:rFonts w:hint="eastAsia" w:ascii="宋体" w:hAnsi="宋体"/>
                <w:kern w:val="0"/>
                <w:sz w:val="18"/>
                <w:szCs w:val="18"/>
              </w:rPr>
              <w:br w:type="textWrapping"/>
            </w:r>
            <w:r>
              <w:rPr>
                <w:rFonts w:hint="eastAsia" w:ascii="宋体" w:hAnsi="宋体"/>
                <w:kern w:val="0"/>
                <w:sz w:val="18"/>
                <w:szCs w:val="18"/>
              </w:rPr>
              <w:t>7、 ●调焦机构：同轴粗动和微动手轮对称安装在机身的两侧，左右手均可操作，方便调焦。粗动手抡松紧度可调节，粗动行程不小于25mm，微动手轮调节精度0.002mm。采用机械式上限位机构，确保标本与物镜不会碰触；微调机构空回≤0.014mm。</w:t>
            </w:r>
            <w:r>
              <w:rPr>
                <w:rFonts w:hint="eastAsia" w:ascii="宋体" w:hAnsi="宋体"/>
                <w:kern w:val="0"/>
                <w:sz w:val="18"/>
                <w:szCs w:val="18"/>
              </w:rPr>
              <w:br w:type="textWrapping"/>
            </w:r>
            <w:r>
              <w:rPr>
                <w:rFonts w:hint="eastAsia" w:ascii="宋体" w:hAnsi="宋体"/>
                <w:kern w:val="0"/>
                <w:sz w:val="18"/>
                <w:szCs w:val="18"/>
              </w:rPr>
              <w:t>8、 ●照明系统：高性能单颗大功率 LED光源，使用寿命达10000小时以上；带独立电源开关和调光开关，寿命长、功耗小、热量低、亮度强、色温高、操作安全，外置式宽电压充电器，输入100V—240V，输出6V 2A。接电阻抗≤0.029；泄露电流≤0.065</w:t>
            </w:r>
            <w:r>
              <w:rPr>
                <w:rFonts w:hint="eastAsia" w:ascii="宋体" w:hAnsi="宋体"/>
                <w:kern w:val="0"/>
                <w:sz w:val="18"/>
                <w:szCs w:val="18"/>
              </w:rPr>
              <w:br w:type="textWrapping"/>
            </w:r>
            <w:r>
              <w:rPr>
                <w:rFonts w:hint="eastAsia" w:ascii="宋体" w:hAnsi="宋体"/>
                <w:kern w:val="0"/>
                <w:sz w:val="18"/>
                <w:szCs w:val="18"/>
              </w:rPr>
              <w:t>10、内置数码一体化300万像素</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7</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教师用数码体视显微镜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1、光学放大倍数：8X-35X</w:t>
            </w:r>
            <w:r>
              <w:rPr>
                <w:rFonts w:hint="eastAsia" w:ascii="宋体" w:hAnsi="宋体"/>
                <w:kern w:val="0"/>
                <w:sz w:val="18"/>
                <w:szCs w:val="18"/>
              </w:rPr>
              <w:br w:type="textWrapping"/>
            </w:r>
            <w:r>
              <w:rPr>
                <w:rFonts w:hint="eastAsia" w:ascii="宋体" w:hAnsi="宋体"/>
                <w:kern w:val="0"/>
                <w:sz w:val="18"/>
                <w:szCs w:val="18"/>
              </w:rPr>
              <w:t>2、目镜：高眼点大市场目镜10X，市场数22mm,自带视度调节，目镜锁定在观察筒上，需要专用工具才能开启。</w:t>
            </w:r>
            <w:r>
              <w:rPr>
                <w:rFonts w:hint="eastAsia" w:ascii="宋体" w:hAnsi="宋体"/>
                <w:kern w:val="0"/>
                <w:sz w:val="18"/>
                <w:szCs w:val="18"/>
              </w:rPr>
              <w:br w:type="textWrapping"/>
            </w:r>
            <w:r>
              <w:rPr>
                <w:rFonts w:hint="eastAsia" w:ascii="宋体" w:hAnsi="宋体"/>
                <w:kern w:val="0"/>
                <w:sz w:val="18"/>
                <w:szCs w:val="18"/>
              </w:rPr>
              <w:t>3、观察头：内置一体化式数码观察头， 45°或者60°倾斜，瞳孔距调节范围50mm-75mm，带内置联锁机构。</w:t>
            </w:r>
            <w:r>
              <w:rPr>
                <w:rFonts w:hint="eastAsia" w:ascii="宋体" w:hAnsi="宋体"/>
                <w:kern w:val="0"/>
                <w:sz w:val="18"/>
                <w:szCs w:val="18"/>
              </w:rPr>
              <w:br w:type="textWrapping"/>
            </w:r>
            <w:r>
              <w:rPr>
                <w:rFonts w:hint="eastAsia" w:ascii="宋体" w:hAnsi="宋体"/>
                <w:kern w:val="0"/>
                <w:sz w:val="18"/>
                <w:szCs w:val="18"/>
              </w:rPr>
              <w:t>4、变倍比：≥4.4:1。</w:t>
            </w:r>
            <w:r>
              <w:rPr>
                <w:rFonts w:hint="eastAsia" w:ascii="宋体" w:hAnsi="宋体"/>
                <w:kern w:val="0"/>
                <w:sz w:val="18"/>
                <w:szCs w:val="18"/>
              </w:rPr>
              <w:br w:type="textWrapping"/>
            </w:r>
            <w:r>
              <w:rPr>
                <w:rFonts w:hint="eastAsia" w:ascii="宋体" w:hAnsi="宋体"/>
                <w:kern w:val="0"/>
                <w:sz w:val="18"/>
                <w:szCs w:val="18"/>
              </w:rPr>
              <w:t>5、工作距离：物方有效距离≥90mm</w:t>
            </w:r>
            <w:r>
              <w:rPr>
                <w:rFonts w:hint="eastAsia" w:ascii="宋体" w:hAnsi="宋体"/>
                <w:kern w:val="0"/>
                <w:sz w:val="18"/>
                <w:szCs w:val="18"/>
              </w:rPr>
              <w:br w:type="textWrapping"/>
            </w:r>
            <w:r>
              <w:rPr>
                <w:rFonts w:hint="eastAsia" w:ascii="宋体" w:hAnsi="宋体"/>
                <w:kern w:val="0"/>
                <w:sz w:val="18"/>
                <w:szCs w:val="18"/>
              </w:rPr>
              <w:t>6、底座：一体化立臂式机座，调焦行程≥90mm。</w:t>
            </w:r>
            <w:r>
              <w:rPr>
                <w:rFonts w:hint="eastAsia" w:ascii="宋体" w:hAnsi="宋体"/>
                <w:kern w:val="0"/>
                <w:sz w:val="18"/>
                <w:szCs w:val="18"/>
              </w:rPr>
              <w:br w:type="textWrapping"/>
            </w:r>
            <w:r>
              <w:rPr>
                <w:rFonts w:hint="eastAsia" w:ascii="宋体" w:hAnsi="宋体"/>
                <w:kern w:val="0"/>
                <w:sz w:val="18"/>
                <w:szCs w:val="18"/>
              </w:rPr>
              <w:t>7、照明系统：100V-240V自适应式 宽电压输入，上下单颗5W 大功率LED 灯，上下灯源独立控制，光强连续可调，同时可亮，上光源照明角度可调。</w:t>
            </w:r>
            <w:r>
              <w:rPr>
                <w:rFonts w:hint="eastAsia" w:ascii="宋体" w:hAnsi="宋体"/>
                <w:kern w:val="0"/>
                <w:sz w:val="18"/>
                <w:szCs w:val="18"/>
              </w:rPr>
              <w:br w:type="textWrapping"/>
            </w:r>
            <w:r>
              <w:rPr>
                <w:rFonts w:hint="eastAsia" w:ascii="宋体" w:hAnsi="宋体"/>
                <w:kern w:val="0"/>
                <w:sz w:val="18"/>
                <w:szCs w:val="18"/>
              </w:rPr>
              <w:t>●8、摄像系统：内置500万像素摄像系统，自带拍照按钮，直接存储SD卡，随时拍摄与保存镜下图片。录像分辨率≥1080P/30FPS，图像输出接口: 全数字高清HDMI高清输出接口,AV输出端口,USB2.0。</w:t>
            </w:r>
            <w:r>
              <w:rPr>
                <w:rFonts w:hint="eastAsia" w:ascii="宋体" w:hAnsi="宋体"/>
                <w:kern w:val="0"/>
                <w:sz w:val="18"/>
                <w:szCs w:val="18"/>
              </w:rPr>
              <w:br w:type="textWrapping"/>
            </w:r>
            <w:r>
              <w:rPr>
                <w:rFonts w:hint="eastAsia" w:ascii="宋体" w:hAnsi="宋体"/>
                <w:kern w:val="0"/>
                <w:sz w:val="18"/>
                <w:szCs w:val="18"/>
              </w:rPr>
              <w:t>配红外遥控器，可直接电视机和投影仪（HDMI接口）。</w:t>
            </w:r>
            <w:r>
              <w:rPr>
                <w:rFonts w:hint="eastAsia" w:ascii="宋体" w:hAnsi="宋体"/>
                <w:kern w:val="0"/>
                <w:sz w:val="18"/>
                <w:szCs w:val="18"/>
              </w:rPr>
              <w:br w:type="textWrapping"/>
            </w:r>
            <w:r>
              <w:rPr>
                <w:rFonts w:hint="eastAsia" w:ascii="宋体" w:hAnsi="宋体"/>
                <w:kern w:val="0"/>
                <w:sz w:val="18"/>
                <w:szCs w:val="18"/>
              </w:rPr>
              <w:t>要求提供证明具备红外遥控功能</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数字切片教学系统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依据国家新课改普教生物教材的教学要求，完整收录现行教材涉及显微镜教学的全套切片，能同时满足教师演示和学生实验的不同需求，切片显示的组织结构典型清晰，图像颜色均匀自然，同时数字切片资源库的图像由教育界名师对切片结构进行标注，并经专家审核，确保切片的专业性和科学性，更有助于学生准确的认识切片中的微观结构，提高实验教学效率。</w:t>
            </w:r>
            <w:r>
              <w:rPr>
                <w:rFonts w:hint="eastAsia" w:ascii="宋体" w:hAnsi="宋体"/>
                <w:kern w:val="0"/>
                <w:sz w:val="18"/>
                <w:szCs w:val="18"/>
              </w:rPr>
              <w:br w:type="textWrapping"/>
            </w:r>
            <w:r>
              <w:rPr>
                <w:rFonts w:hint="eastAsia" w:ascii="宋体" w:hAnsi="宋体"/>
                <w:kern w:val="0"/>
                <w:sz w:val="18"/>
                <w:szCs w:val="18"/>
              </w:rPr>
              <w:t>2、将传统显微镜与数字切片互动教学和学习，既注重了学生的操作能力，也培养了学习的简便性与兴趣性，既方便教学课件制作，教师可随心所欲的发挥制作空间，灵活方便，方便规划建立精品课程。</w:t>
            </w:r>
            <w:r>
              <w:rPr>
                <w:rFonts w:hint="eastAsia" w:ascii="宋体" w:hAnsi="宋体"/>
                <w:kern w:val="0"/>
                <w:sz w:val="18"/>
                <w:szCs w:val="18"/>
              </w:rPr>
              <w:br w:type="textWrapping"/>
            </w:r>
            <w:r>
              <w:rPr>
                <w:rFonts w:hint="eastAsia" w:ascii="宋体" w:hAnsi="宋体"/>
                <w:kern w:val="0"/>
                <w:sz w:val="18"/>
                <w:szCs w:val="18"/>
              </w:rPr>
              <w:t>3、系统支持C/S、B/S模式部署，可以手机、平板、电脑可以从本地局域网、校园网、Internet等网络上远程自主学习，也可以开展跨地域的远程教学模式，激发探究热情，实现教育方式的多样化。</w:t>
            </w:r>
            <w:r>
              <w:rPr>
                <w:rFonts w:hint="eastAsia" w:ascii="宋体" w:hAnsi="宋体"/>
                <w:kern w:val="0"/>
                <w:sz w:val="18"/>
                <w:szCs w:val="18"/>
              </w:rPr>
              <w:br w:type="textWrapping"/>
            </w:r>
            <w:r>
              <w:rPr>
                <w:rFonts w:hint="eastAsia" w:ascii="宋体" w:hAnsi="宋体"/>
                <w:kern w:val="0"/>
                <w:sz w:val="18"/>
                <w:szCs w:val="18"/>
              </w:rPr>
              <w:t>4、●显微虚拟数字切片系统与数码显微镜视频系统实现无缝结合，数码显微镜实时视频上可叠加图形、文字、图片、PPT/WORD/EXCEL、FLASH及多媒体视频和数字切片等。</w:t>
            </w:r>
            <w:r>
              <w:rPr>
                <w:rFonts w:hint="eastAsia" w:ascii="宋体" w:hAnsi="宋体"/>
                <w:kern w:val="0"/>
                <w:sz w:val="18"/>
                <w:szCs w:val="18"/>
              </w:rPr>
              <w:br w:type="textWrapping"/>
            </w:r>
            <w:r>
              <w:rPr>
                <w:rFonts w:hint="eastAsia" w:ascii="宋体" w:hAnsi="宋体"/>
                <w:kern w:val="0"/>
                <w:sz w:val="18"/>
                <w:szCs w:val="18"/>
              </w:rPr>
              <w:t>5、使用中无需实物切片，解决了实物切片的丢失、褪色、损坏问题，减少经费投入。</w:t>
            </w:r>
            <w:r>
              <w:rPr>
                <w:rFonts w:hint="eastAsia" w:ascii="宋体" w:hAnsi="宋体"/>
                <w:kern w:val="0"/>
                <w:sz w:val="18"/>
                <w:szCs w:val="18"/>
              </w:rPr>
              <w:br w:type="textWrapping"/>
            </w:r>
            <w:r>
              <w:rPr>
                <w:rFonts w:hint="eastAsia" w:ascii="宋体" w:hAnsi="宋体"/>
                <w:kern w:val="0"/>
                <w:sz w:val="18"/>
                <w:szCs w:val="18"/>
              </w:rPr>
              <w:t>6、支持模拟显微镜视场进行观察，让学生有身临其境，实时操作之感受；支持模拟显微镜物镜固定倍率观察，四组固定倍率为：4倍、10倍、20倍、40倍,支持1X-100X无级缩放。</w:t>
            </w:r>
            <w:r>
              <w:rPr>
                <w:rFonts w:hint="eastAsia" w:ascii="宋体" w:hAnsi="宋体"/>
                <w:kern w:val="0"/>
                <w:sz w:val="18"/>
                <w:szCs w:val="18"/>
              </w:rPr>
              <w:br w:type="textWrapping"/>
            </w:r>
            <w:r>
              <w:rPr>
                <w:rFonts w:hint="eastAsia" w:ascii="宋体" w:hAnsi="宋体"/>
                <w:kern w:val="0"/>
                <w:sz w:val="18"/>
                <w:szCs w:val="18"/>
              </w:rPr>
              <w:t>7、学生可自主学习并对切片内容进行标注、注解、测量长度、周长、面积等，并生成实验报告。</w:t>
            </w:r>
            <w:r>
              <w:rPr>
                <w:rFonts w:hint="eastAsia" w:ascii="宋体" w:hAnsi="宋体"/>
                <w:kern w:val="0"/>
                <w:sz w:val="18"/>
                <w:szCs w:val="18"/>
              </w:rPr>
              <w:br w:type="textWrapping"/>
            </w:r>
            <w:r>
              <w:rPr>
                <w:rFonts w:hint="eastAsia" w:ascii="宋体" w:hAnsi="宋体"/>
                <w:kern w:val="0"/>
                <w:sz w:val="18"/>
                <w:szCs w:val="18"/>
              </w:rPr>
              <w:t>8、电子地图导航，提供数字切片全图缩略预览，并可快速定位目标区域。</w:t>
            </w:r>
            <w:r>
              <w:rPr>
                <w:rFonts w:hint="eastAsia" w:ascii="宋体" w:hAnsi="宋体"/>
                <w:kern w:val="0"/>
                <w:sz w:val="18"/>
                <w:szCs w:val="18"/>
              </w:rPr>
              <w:br w:type="textWrapping"/>
            </w:r>
            <w:r>
              <w:rPr>
                <w:rFonts w:hint="eastAsia" w:ascii="宋体" w:hAnsi="宋体"/>
                <w:kern w:val="0"/>
                <w:sz w:val="18"/>
                <w:szCs w:val="18"/>
              </w:rPr>
              <w:t>9、知识点导航，点击知识点可快速定位到数字切片相应的倍数和位置。</w:t>
            </w:r>
            <w:r>
              <w:rPr>
                <w:rFonts w:hint="eastAsia" w:ascii="宋体" w:hAnsi="宋体"/>
                <w:kern w:val="0"/>
                <w:sz w:val="18"/>
                <w:szCs w:val="18"/>
              </w:rPr>
              <w:br w:type="textWrapping"/>
            </w:r>
            <w:r>
              <w:rPr>
                <w:rFonts w:hint="eastAsia" w:ascii="宋体" w:hAnsi="宋体"/>
                <w:kern w:val="0"/>
                <w:sz w:val="18"/>
                <w:szCs w:val="18"/>
              </w:rPr>
              <w:t>10、丰富的课件资源包：提供教案、课件、图库、术语、试题等丰富的分类资源，提高了教学效率,让老师用最少时间教学收获最理想的教学效果。同时也为学生复习、自学提供了丰富的资源。提供常用数字切片（不少于90片），▲</w:t>
            </w:r>
            <w:r>
              <w:rPr>
                <w:rFonts w:hint="eastAsia" w:ascii="宋体" w:hAnsi="宋体"/>
                <w:sz w:val="18"/>
                <w:szCs w:val="18"/>
              </w:rPr>
              <w:t>提供国家版权局的著作权证书，加盖</w:t>
            </w:r>
            <w:r>
              <w:rPr>
                <w:rFonts w:hint="eastAsia" w:ascii="宋体" w:hAnsi="宋体"/>
                <w:sz w:val="18"/>
                <w:szCs w:val="18"/>
                <w:lang w:val="en-US" w:eastAsia="zh-CN"/>
              </w:rPr>
              <w:t>投标单位</w:t>
            </w:r>
            <w:r>
              <w:rPr>
                <w:rFonts w:hint="eastAsia" w:ascii="宋体" w:hAnsi="宋体"/>
                <w:sz w:val="18"/>
                <w:szCs w:val="18"/>
              </w:rPr>
              <w:t>公章</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专业课件系统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 Mv Data，中文，支持操作系统：win xp/win vista/win 7/win 8</w:t>
            </w:r>
            <w:r>
              <w:rPr>
                <w:rFonts w:hint="eastAsia" w:ascii="宋体" w:hAnsi="宋体"/>
                <w:kern w:val="0"/>
                <w:sz w:val="18"/>
                <w:szCs w:val="18"/>
              </w:rPr>
              <w:br w:type="textWrapping"/>
            </w:r>
            <w:r>
              <w:rPr>
                <w:rFonts w:hint="eastAsia" w:ascii="宋体" w:hAnsi="宋体"/>
                <w:kern w:val="0"/>
                <w:sz w:val="18"/>
                <w:szCs w:val="18"/>
              </w:rPr>
              <w:t>2. 是专门针对高中生物学教材开发的，解决了教师与互动系统之间的矛盾。软件采用了全新的设计理念，文本页与多媒体资源管理页有机结合，通过软件程序化的管理，使具有专业教学能力的教师毫不费力的就能制作出专业级别的多媒体教学课件。我们唯一需要做的就是收集本专业的多媒体教学材料，添加页面、添加多媒体材料。</w:t>
            </w:r>
            <w:r>
              <w:rPr>
                <w:rFonts w:hint="eastAsia" w:ascii="宋体" w:hAnsi="宋体"/>
                <w:kern w:val="0"/>
                <w:sz w:val="18"/>
                <w:szCs w:val="18"/>
              </w:rPr>
              <w:br w:type="textWrapping"/>
            </w:r>
            <w:r>
              <w:rPr>
                <w:rFonts w:hint="eastAsia" w:ascii="宋体" w:hAnsi="宋体"/>
                <w:kern w:val="0"/>
                <w:sz w:val="18"/>
                <w:szCs w:val="18"/>
              </w:rPr>
              <w:t>3. 课件编辑软件提供了一套树状管理结构。对不同专业、学科和不同章节资料进行分类管理，使得教师不必为整理课件和资料花费大量的时 间，使得资料更加系统化结合显微教学多图、多注释等实际情况，专业教学管理系统推出“电子挂图”概念，即教师可以在备课时准备好图片、编辑好注释，在互动教学过程随时调用，而无需在软件中来回切换；并可以实现全屏显示。</w:t>
            </w:r>
            <w:r>
              <w:rPr>
                <w:rFonts w:hint="eastAsia" w:ascii="宋体" w:hAnsi="宋体"/>
                <w:kern w:val="0"/>
                <w:sz w:val="18"/>
                <w:szCs w:val="18"/>
              </w:rPr>
              <w:br w:type="textWrapping"/>
            </w:r>
            <w:r>
              <w:rPr>
                <w:rFonts w:hint="eastAsia" w:ascii="宋体" w:hAnsi="宋体"/>
                <w:kern w:val="0"/>
                <w:sz w:val="18"/>
                <w:szCs w:val="18"/>
              </w:rPr>
              <w:t>4. 教学方案可重复使用，终身受用。并能做到私密性,即完全属于教师自己的教案 课件系统可与显微视频教学实现无缝连接，所有资源都可在动态视频上实现叠加。课件系统也可以脱离显微互动教学系统单独使用，实现课件资源利用的最大化。</w:t>
            </w:r>
            <w:r>
              <w:rPr>
                <w:rFonts w:hint="eastAsia" w:ascii="宋体" w:hAnsi="宋体"/>
                <w:kern w:val="0"/>
                <w:sz w:val="18"/>
                <w:szCs w:val="18"/>
              </w:rPr>
              <w:br w:type="textWrapping"/>
            </w:r>
            <w:r>
              <w:rPr>
                <w:rFonts w:hint="eastAsia" w:ascii="宋体" w:hAnsi="宋体"/>
                <w:kern w:val="0"/>
                <w:sz w:val="18"/>
                <w:szCs w:val="18"/>
              </w:rPr>
              <w:t>5. 个性化：系统可独立运行于可移动设备（移动硬盘、U盘），随身携带，系统能自动配置资源，要求操作简单。</w:t>
            </w:r>
            <w:r>
              <w:rPr>
                <w:rFonts w:hint="eastAsia" w:ascii="宋体" w:hAnsi="宋体"/>
                <w:kern w:val="0"/>
                <w:sz w:val="18"/>
                <w:szCs w:val="18"/>
              </w:rPr>
              <w:br w:type="textWrapping"/>
            </w:r>
            <w:r>
              <w:rPr>
                <w:rFonts w:hint="eastAsia" w:ascii="宋体" w:hAnsi="宋体"/>
                <w:kern w:val="0"/>
                <w:sz w:val="18"/>
                <w:szCs w:val="18"/>
              </w:rPr>
              <w:t>6. 方便易用：集合了强大的Office控件，可以把统计图表、数学公式或自选图形制作成Word、Excel文件或图片，添加到多媒体资源页，就可以在教学时随时调用。</w:t>
            </w:r>
            <w:r>
              <w:rPr>
                <w:rFonts w:hint="eastAsia" w:ascii="宋体" w:hAnsi="宋体"/>
                <w:kern w:val="0"/>
                <w:sz w:val="18"/>
                <w:szCs w:val="18"/>
              </w:rPr>
              <w:br w:type="textWrapping"/>
            </w:r>
            <w:r>
              <w:rPr>
                <w:rFonts w:hint="eastAsia" w:ascii="宋体" w:hAnsi="宋体"/>
                <w:kern w:val="0"/>
                <w:sz w:val="18"/>
                <w:szCs w:val="18"/>
              </w:rPr>
              <w:t>7. 数据安全：采用Microsoft Access 数据库存贮，安装方便操作简单，访问速度快，数据安全性高。</w:t>
            </w:r>
            <w:r>
              <w:rPr>
                <w:rFonts w:hint="eastAsia" w:ascii="宋体" w:hAnsi="宋体"/>
                <w:kern w:val="0"/>
                <w:sz w:val="18"/>
                <w:szCs w:val="18"/>
              </w:rPr>
              <w:br w:type="textWrapping"/>
            </w:r>
            <w:r>
              <w:rPr>
                <w:rFonts w:hint="eastAsia" w:ascii="宋体" w:hAnsi="宋体"/>
                <w:kern w:val="0"/>
                <w:sz w:val="18"/>
                <w:szCs w:val="18"/>
              </w:rPr>
              <w:t>8. 分类管理：树状管理结构，对不同专业、学科和教材不同章节资料进行分类管理，清晰明了。</w:t>
            </w:r>
            <w:r>
              <w:rPr>
                <w:rFonts w:hint="eastAsia" w:ascii="宋体" w:hAnsi="宋体"/>
                <w:kern w:val="0"/>
                <w:sz w:val="18"/>
                <w:szCs w:val="18"/>
              </w:rPr>
              <w:br w:type="textWrapping"/>
            </w:r>
            <w:r>
              <w:rPr>
                <w:rFonts w:hint="eastAsia" w:ascii="宋体" w:hAnsi="宋体"/>
                <w:kern w:val="0"/>
                <w:sz w:val="18"/>
                <w:szCs w:val="18"/>
              </w:rPr>
              <w:t>9. ●富媒体支持：系统支持各种主流音频、视频播放、图片演示以及Internet 网页浏览、可执行程序、Word文档、Excel、PPT演示文稿自动调用等功能。</w:t>
            </w:r>
            <w:r>
              <w:rPr>
                <w:rFonts w:hint="eastAsia" w:ascii="宋体" w:hAnsi="宋体"/>
                <w:kern w:val="0"/>
                <w:sz w:val="18"/>
                <w:szCs w:val="18"/>
              </w:rPr>
              <w:br w:type="textWrapping"/>
            </w:r>
            <w:r>
              <w:rPr>
                <w:rFonts w:hint="eastAsia" w:ascii="宋体" w:hAnsi="宋体"/>
                <w:kern w:val="0"/>
                <w:sz w:val="18"/>
                <w:szCs w:val="18"/>
              </w:rPr>
              <w:t>10. 电子白板和交互智能平板（软件）功能:方便课件制作（尤其是实时动态课件的制作）和教学。提供不同类型图形（点，直线，任意线，矩形等），文字，电子挂图等标记功能。</w:t>
            </w:r>
            <w:r>
              <w:rPr>
                <w:rFonts w:hint="eastAsia" w:ascii="宋体" w:hAnsi="宋体"/>
                <w:kern w:val="0"/>
                <w:sz w:val="18"/>
                <w:szCs w:val="18"/>
              </w:rPr>
              <w:br w:type="textWrapping"/>
            </w:r>
            <w:r>
              <w:rPr>
                <w:rFonts w:hint="eastAsia" w:ascii="宋体" w:hAnsi="宋体"/>
                <w:kern w:val="0"/>
                <w:sz w:val="18"/>
                <w:szCs w:val="18"/>
              </w:rPr>
              <w:t>▲</w:t>
            </w:r>
            <w:r>
              <w:rPr>
                <w:rFonts w:hint="eastAsia" w:ascii="宋体" w:hAnsi="宋体"/>
                <w:sz w:val="18"/>
                <w:szCs w:val="18"/>
              </w:rPr>
              <w:t>提供国家版权局的计算机软件著作权证书复印件，加盖</w:t>
            </w:r>
            <w:r>
              <w:rPr>
                <w:rFonts w:hint="eastAsia" w:ascii="宋体" w:hAnsi="宋体"/>
                <w:sz w:val="18"/>
                <w:szCs w:val="18"/>
                <w:lang w:val="en-US" w:eastAsia="zh-CN"/>
              </w:rPr>
              <w:t>投标单位</w:t>
            </w:r>
            <w:r>
              <w:rPr>
                <w:rFonts w:hint="eastAsia" w:ascii="宋体" w:hAnsi="宋体"/>
                <w:sz w:val="18"/>
                <w:szCs w:val="18"/>
              </w:rPr>
              <w:t>公章</w:t>
            </w:r>
            <w:r>
              <w:rPr>
                <w:rFonts w:hint="eastAsia" w:ascii="宋体" w:hAnsi="宋体"/>
                <w:kern w:val="0"/>
                <w:sz w:val="18"/>
                <w:szCs w:val="18"/>
              </w:rPr>
              <w:t>。</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数码互动控制软件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numPr>
                <w:ilvl w:val="0"/>
                <w:numId w:val="7"/>
              </w:numPr>
              <w:jc w:val="left"/>
              <w:rPr>
                <w:rFonts w:ascii="宋体" w:hAnsi="宋体"/>
                <w:kern w:val="0"/>
                <w:sz w:val="18"/>
                <w:szCs w:val="18"/>
              </w:rPr>
            </w:pPr>
            <w:r>
              <w:rPr>
                <w:rFonts w:hint="eastAsia" w:ascii="宋体" w:hAnsi="宋体"/>
                <w:kern w:val="0"/>
                <w:sz w:val="18"/>
                <w:szCs w:val="18"/>
              </w:rPr>
              <w:t>Mv Class NET，教师端和每一个学生端都是独立的图像信号处理单元，各自具备强大的图象处理与分析功能，通过系统局域网实现实时动态的图像共享和语音交流。教师可以观察所有学生的显微镜下图像和计算机屏幕图像，随时掌握学生的实验情况，并且可以通过控制屏幕对学生进行独立辅导。各学生端可以显示教师端或其他任意一个学生端的图像，系统还提供语音、文字、广播、对话、问答等多种师生之间的交流方式，真正实现双向互动，全面满足显微教学的需求。</w:t>
            </w:r>
            <w:r>
              <w:rPr>
                <w:rFonts w:hint="eastAsia" w:ascii="宋体" w:hAnsi="宋体"/>
                <w:kern w:val="0"/>
                <w:sz w:val="18"/>
                <w:szCs w:val="18"/>
              </w:rPr>
              <w:br w:type="textWrapping"/>
            </w:r>
            <w:r>
              <w:rPr>
                <w:rFonts w:hint="eastAsia" w:ascii="宋体" w:hAnsi="宋体"/>
                <w:kern w:val="0"/>
                <w:sz w:val="18"/>
                <w:szCs w:val="18"/>
              </w:rPr>
              <w:t>2. 广播教学：可以将教师机显微镜图像和教师讲话实时传送至学生机。可对单体、部分和全体学生进行广播教学，广播教学时，可设定学生端以全屏方式还是以窗口方式接收教师广播的图像内容。在全屏接收方式下，学生的鼠标和键盘被锁定，被动听老师讲课；在窗口方式中，学生屏幕的一半是老师广播教学的内容，另一半屏幕是学生自己屏幕内容，此时学生可以一边听课一边与自己的图像对比。广播教学功能实现声音、图像实时流畅的传输到每位学生端的微机屏幕上。</w:t>
            </w:r>
            <w:r>
              <w:rPr>
                <w:rFonts w:hint="eastAsia" w:ascii="宋体" w:hAnsi="宋体"/>
                <w:kern w:val="0"/>
                <w:sz w:val="18"/>
                <w:szCs w:val="18"/>
              </w:rPr>
              <w:br w:type="textWrapping"/>
            </w:r>
            <w:r>
              <w:rPr>
                <w:rFonts w:hint="eastAsia" w:ascii="宋体" w:hAnsi="宋体"/>
                <w:kern w:val="0"/>
                <w:sz w:val="18"/>
                <w:szCs w:val="18"/>
              </w:rPr>
              <w:t>3. 学生演示/示范教学：教师可选定一台学生机作为示范，由此学生代替教师进行示范教学，该学生机镜下图像及声音可转播给其他所选定的学生。在演示和示范的过程中，教师与示范学生允许对讲，教师可以遥控示范的学生机器并同时演示给其他学生。</w:t>
            </w:r>
            <w:r>
              <w:rPr>
                <w:rFonts w:hint="eastAsia" w:ascii="宋体" w:hAnsi="宋体"/>
                <w:kern w:val="0"/>
                <w:sz w:val="18"/>
                <w:szCs w:val="18"/>
              </w:rPr>
              <w:br w:type="textWrapping"/>
            </w:r>
            <w:r>
              <w:rPr>
                <w:rFonts w:hint="eastAsia" w:ascii="宋体" w:hAnsi="宋体"/>
                <w:kern w:val="0"/>
                <w:sz w:val="18"/>
                <w:szCs w:val="18"/>
              </w:rPr>
              <w:t>4. 分组教学：可以将所有学生任意分为若干组，任命其中一位学生为主动方代替老师在组内教学，实现分组教学的功能，组与组之间互相不干扰；组内的学生可以进行双向的完全互动讨论，但组与组之间互相不干扰。</w:t>
            </w:r>
            <w:r>
              <w:rPr>
                <w:rFonts w:hint="eastAsia" w:ascii="宋体" w:hAnsi="宋体"/>
                <w:kern w:val="0"/>
                <w:sz w:val="18"/>
                <w:szCs w:val="18"/>
              </w:rPr>
              <w:br w:type="textWrapping"/>
            </w:r>
            <w:r>
              <w:rPr>
                <w:rFonts w:hint="eastAsia" w:ascii="宋体" w:hAnsi="宋体"/>
                <w:kern w:val="0"/>
                <w:sz w:val="18"/>
                <w:szCs w:val="18"/>
              </w:rPr>
              <w:t>5. 辅导教学：教师可以指定一个学生进行单独辅导，有二种辅导模式：教师把自己的图像传给学生进行辅导；教师接管学生的电脑进行辅导。</w:t>
            </w:r>
            <w:r>
              <w:rPr>
                <w:rFonts w:hint="eastAsia" w:ascii="宋体" w:hAnsi="宋体"/>
                <w:kern w:val="0"/>
                <w:sz w:val="18"/>
                <w:szCs w:val="18"/>
              </w:rPr>
              <w:br w:type="textWrapping"/>
            </w:r>
            <w:r>
              <w:rPr>
                <w:rFonts w:hint="eastAsia" w:ascii="宋体" w:hAnsi="宋体"/>
                <w:kern w:val="0"/>
                <w:sz w:val="18"/>
                <w:szCs w:val="18"/>
              </w:rPr>
              <w:t>6. 监控教学（双通道监控教学）：教师可以监控所有学生计算机的画面。教师可以监控所有学生显微镜的视频画面（学生计算机黑屏肃静的情况下也能够监控）。对监视的任意学生画面，老师可在任意时刻对某一学生的画面全屏监视，并可以通过遥控功能取得学生的鼠标键盘控制权。遥控分单向和双向两种。</w:t>
            </w:r>
            <w:r>
              <w:rPr>
                <w:rFonts w:hint="eastAsia" w:ascii="宋体" w:hAnsi="宋体"/>
                <w:kern w:val="0"/>
                <w:sz w:val="18"/>
                <w:szCs w:val="18"/>
              </w:rPr>
              <w:br w:type="textWrapping"/>
            </w:r>
            <w:r>
              <w:rPr>
                <w:rFonts w:hint="eastAsia" w:ascii="宋体" w:hAnsi="宋体"/>
                <w:kern w:val="0"/>
                <w:sz w:val="18"/>
                <w:szCs w:val="18"/>
              </w:rPr>
              <w:t>7. 对比教学：数字切片对比教学：可以在视频显微图像上叠加数字切片进行对比读片教学。标准图片对比教学。可以把标准图片叠加在正在观察的显微视频上，便于学生比较读片。不同视场对比教学。通过拍照到“剪切板”功能演示同一切片不同视场下的形态比较。视频对比教学，通过在显微视频上插入课件资源中的录像视频进行比较教学。</w:t>
            </w:r>
            <w:r>
              <w:rPr>
                <w:rFonts w:hint="eastAsia" w:ascii="宋体" w:hAnsi="宋体"/>
                <w:kern w:val="0"/>
                <w:sz w:val="18"/>
                <w:szCs w:val="18"/>
              </w:rPr>
              <w:br w:type="textWrapping"/>
            </w:r>
            <w:r>
              <w:rPr>
                <w:rFonts w:hint="eastAsia" w:ascii="宋体" w:hAnsi="宋体"/>
                <w:kern w:val="0"/>
                <w:sz w:val="18"/>
                <w:szCs w:val="18"/>
              </w:rPr>
              <w:t>8. 彩色光标教学：彩色光标功能，至少2种颜色，独特的光标变色及大小可调方式，使得学生在离投影屏距离较远时也能轻易辨别。</w:t>
            </w:r>
            <w:r>
              <w:rPr>
                <w:rFonts w:hint="eastAsia" w:ascii="宋体" w:hAnsi="宋体"/>
                <w:kern w:val="0"/>
                <w:sz w:val="18"/>
                <w:szCs w:val="18"/>
              </w:rPr>
              <w:br w:type="textWrapping"/>
            </w:r>
            <w:r>
              <w:rPr>
                <w:rFonts w:hint="eastAsia" w:ascii="宋体" w:hAnsi="宋体"/>
                <w:kern w:val="0"/>
                <w:sz w:val="18"/>
                <w:szCs w:val="18"/>
              </w:rPr>
              <w:t>9. 教学辅助功能/教学及实验室管理功能：黑屏肃静：对不认真听课的学生电脑可以进行黑屏肃静，黑屏肃静时学生电脑的键盘、鼠标被完全锁定。除非教师取消黑屏才能使用。此时有的操作系统快捷按键都不起作用，如ctrl+alt+delete等。黑屏肃静下仍通道进行纯语音授课。黑屏肃静下教师仍能监控学生显微镜的视频画面。</w:t>
            </w:r>
            <w:r>
              <w:rPr>
                <w:rFonts w:hint="eastAsia" w:ascii="宋体" w:hAnsi="宋体"/>
                <w:kern w:val="0"/>
                <w:sz w:val="18"/>
                <w:szCs w:val="18"/>
              </w:rPr>
              <w:br w:type="textWrapping"/>
            </w:r>
            <w:r>
              <w:rPr>
                <w:rFonts w:hint="eastAsia" w:ascii="宋体" w:hAnsi="宋体"/>
                <w:kern w:val="0"/>
                <w:sz w:val="18"/>
                <w:szCs w:val="18"/>
              </w:rPr>
              <w:t>10. 通过网卡是否激活锁定屏幕，避免学生拔掉网线违反纪律。教师可以控制学生对各种应用程序的使用和限制，如学生乱装软件、玩游戏等，以控制学生使用IE浏览器，对访问网站做限制。</w:t>
            </w:r>
            <w:r>
              <w:rPr>
                <w:rFonts w:hint="eastAsia" w:ascii="宋体" w:hAnsi="宋体"/>
                <w:kern w:val="0"/>
                <w:sz w:val="18"/>
                <w:szCs w:val="18"/>
              </w:rPr>
              <w:br w:type="textWrapping"/>
            </w:r>
            <w:r>
              <w:rPr>
                <w:rFonts w:hint="eastAsia" w:ascii="宋体" w:hAnsi="宋体"/>
                <w:kern w:val="0"/>
                <w:sz w:val="18"/>
                <w:szCs w:val="18"/>
              </w:rPr>
              <w:t>11. U盘控制功能：教师对学生电脑USB接口有一下控制功能：只读、开放、完全禁止，防止感染病毒。</w:t>
            </w:r>
            <w:r>
              <w:rPr>
                <w:rFonts w:hint="eastAsia" w:ascii="宋体" w:hAnsi="宋体"/>
                <w:kern w:val="0"/>
                <w:sz w:val="18"/>
                <w:szCs w:val="18"/>
              </w:rPr>
              <w:br w:type="textWrapping"/>
            </w:r>
            <w:r>
              <w:rPr>
                <w:rFonts w:hint="eastAsia" w:ascii="宋体" w:hAnsi="宋体"/>
                <w:kern w:val="0"/>
                <w:sz w:val="18"/>
                <w:szCs w:val="18"/>
              </w:rPr>
              <w:t>12. 防卸载功能：能防止学生随意卸载软件系统。</w:t>
            </w:r>
            <w:r>
              <w:rPr>
                <w:rFonts w:hint="eastAsia" w:ascii="宋体" w:hAnsi="宋体"/>
                <w:kern w:val="0"/>
                <w:sz w:val="18"/>
                <w:szCs w:val="18"/>
              </w:rPr>
              <w:br w:type="textWrapping"/>
            </w:r>
            <w:r>
              <w:rPr>
                <w:rFonts w:hint="eastAsia" w:ascii="宋体" w:hAnsi="宋体"/>
                <w:kern w:val="0"/>
                <w:sz w:val="18"/>
                <w:szCs w:val="18"/>
              </w:rPr>
              <w:t>13. 防脱网功能：学生端电脑拔掉网线的情况下学生电脑自我锁定。</w:t>
            </w:r>
            <w:r>
              <w:rPr>
                <w:rFonts w:hint="eastAsia" w:ascii="宋体" w:hAnsi="宋体"/>
                <w:kern w:val="0"/>
                <w:sz w:val="18"/>
                <w:szCs w:val="18"/>
              </w:rPr>
              <w:br w:type="textWrapping"/>
            </w:r>
            <w:r>
              <w:rPr>
                <w:rFonts w:hint="eastAsia" w:ascii="宋体" w:hAnsi="宋体"/>
                <w:kern w:val="0"/>
                <w:sz w:val="18"/>
                <w:szCs w:val="18"/>
              </w:rPr>
              <w:t>14. 进程保护：能防止学生通过任务管理器结束网络控制，从而脱离教师的控制。</w:t>
            </w:r>
            <w:r>
              <w:rPr>
                <w:rFonts w:hint="eastAsia" w:ascii="宋体" w:hAnsi="宋体"/>
                <w:kern w:val="0"/>
                <w:sz w:val="18"/>
                <w:szCs w:val="18"/>
              </w:rPr>
              <w:br w:type="textWrapping"/>
            </w:r>
            <w:r>
              <w:rPr>
                <w:rFonts w:hint="eastAsia" w:ascii="宋体" w:hAnsi="宋体"/>
                <w:kern w:val="0"/>
                <w:sz w:val="18"/>
                <w:szCs w:val="18"/>
              </w:rPr>
              <w:t>15. 上网限制及程序限制：教师可以根据需要对学生端的上网权限进行设置，也可以对学生端可以运行的程序进行。</w:t>
            </w:r>
            <w:r>
              <w:rPr>
                <w:rFonts w:hint="eastAsia" w:ascii="宋体" w:hAnsi="宋体"/>
                <w:kern w:val="0"/>
                <w:sz w:val="18"/>
                <w:szCs w:val="18"/>
              </w:rPr>
              <w:br w:type="textWrapping"/>
            </w:r>
            <w:r>
              <w:rPr>
                <w:rFonts w:hint="eastAsia" w:ascii="宋体" w:hAnsi="宋体"/>
                <w:kern w:val="0"/>
                <w:sz w:val="18"/>
                <w:szCs w:val="18"/>
              </w:rPr>
              <w:t>16. 电子地图、班级管理：可实现学生座次对应的功能，通过学生图标可看到每位学生的座位位置和名字，以及班级、专业、学号等数据库资料。</w:t>
            </w:r>
            <w:r>
              <w:rPr>
                <w:rFonts w:hint="eastAsia" w:ascii="宋体" w:hAnsi="宋体"/>
                <w:kern w:val="0"/>
                <w:sz w:val="18"/>
                <w:szCs w:val="18"/>
              </w:rPr>
              <w:br w:type="textWrapping"/>
            </w:r>
            <w:r>
              <w:rPr>
                <w:rFonts w:hint="eastAsia" w:ascii="宋体" w:hAnsi="宋体"/>
                <w:kern w:val="0"/>
                <w:sz w:val="18"/>
                <w:szCs w:val="18"/>
              </w:rPr>
              <w:t>17. 请求帮助：学生可以启动一个单独的界面，输入文字，向老师请求帮助。老师接受到后可以通过文字，语音，直接遥控的方式帮助学生解决问题。</w:t>
            </w:r>
            <w:r>
              <w:rPr>
                <w:rFonts w:hint="eastAsia" w:ascii="宋体" w:hAnsi="宋体"/>
                <w:kern w:val="0"/>
                <w:sz w:val="18"/>
                <w:szCs w:val="18"/>
              </w:rPr>
              <w:br w:type="textWrapping"/>
            </w:r>
            <w:r>
              <w:rPr>
                <w:rFonts w:hint="eastAsia" w:ascii="宋体" w:hAnsi="宋体"/>
                <w:kern w:val="0"/>
                <w:sz w:val="18"/>
                <w:szCs w:val="18"/>
              </w:rPr>
              <w:t>18. 电子教鞭：无论在广播教学、学生演示还是遥控辅导过程中，老师都可以使用电子教鞭功能对讲课的内容指点描述，如同在黑板上写画一样方便，用后可以关闭此功能，所写所画内容如同黑板一样一擦而净。</w:t>
            </w:r>
            <w:r>
              <w:rPr>
                <w:rFonts w:hint="eastAsia" w:ascii="宋体" w:hAnsi="宋体"/>
                <w:kern w:val="0"/>
                <w:sz w:val="18"/>
                <w:szCs w:val="18"/>
              </w:rPr>
              <w:br w:type="textWrapping"/>
            </w:r>
            <w:r>
              <w:rPr>
                <w:rFonts w:hint="eastAsia" w:ascii="宋体" w:hAnsi="宋体"/>
                <w:kern w:val="0"/>
                <w:sz w:val="18"/>
                <w:szCs w:val="18"/>
              </w:rPr>
              <w:t>19. 流媒体播放功能：各种媒体格式的文件可通过网络向学生端播放，并保证声音图像完全实时流畅传输，此时老师可以用教师端主机做其它工作。</w:t>
            </w:r>
            <w:r>
              <w:rPr>
                <w:rFonts w:hint="eastAsia" w:ascii="宋体" w:hAnsi="宋体"/>
                <w:kern w:val="0"/>
                <w:sz w:val="18"/>
                <w:szCs w:val="18"/>
              </w:rPr>
              <w:br w:type="textWrapping"/>
            </w:r>
            <w:r>
              <w:rPr>
                <w:rFonts w:hint="eastAsia" w:ascii="宋体" w:hAnsi="宋体"/>
                <w:kern w:val="0"/>
                <w:sz w:val="18"/>
                <w:szCs w:val="18"/>
              </w:rPr>
              <w:t>20. 显微视频控制功能：图像动态局部放大功能，实时观察采集图像局部。</w:t>
            </w:r>
            <w:r>
              <w:rPr>
                <w:rFonts w:hint="eastAsia" w:ascii="宋体" w:hAnsi="宋体"/>
                <w:kern w:val="0"/>
                <w:sz w:val="18"/>
                <w:szCs w:val="18"/>
              </w:rPr>
              <w:br w:type="textWrapping"/>
            </w:r>
            <w:r>
              <w:rPr>
                <w:rFonts w:hint="eastAsia" w:ascii="宋体" w:hAnsi="宋体"/>
                <w:kern w:val="0"/>
                <w:sz w:val="18"/>
                <w:szCs w:val="18"/>
              </w:rPr>
              <w:t>21. 全局导航窗口：全局导航窗口可随时观察显微视频全局，也可快速导航到感兴趣的区域。</w:t>
            </w:r>
            <w:r>
              <w:rPr>
                <w:rFonts w:hint="eastAsia" w:ascii="宋体" w:hAnsi="宋体"/>
                <w:kern w:val="0"/>
                <w:sz w:val="18"/>
                <w:szCs w:val="18"/>
              </w:rPr>
              <w:br w:type="textWrapping"/>
            </w:r>
            <w:r>
              <w:rPr>
                <w:rFonts w:hint="eastAsia" w:ascii="宋体" w:hAnsi="宋体"/>
                <w:kern w:val="0"/>
                <w:sz w:val="18"/>
                <w:szCs w:val="18"/>
              </w:rPr>
              <w:t>22. 模拟显微镜观察功能：实时圆形视场观察，提高学生注意力。</w:t>
            </w:r>
            <w:r>
              <w:rPr>
                <w:rFonts w:hint="eastAsia" w:ascii="宋体" w:hAnsi="宋体"/>
                <w:kern w:val="0"/>
                <w:sz w:val="18"/>
                <w:szCs w:val="18"/>
              </w:rPr>
              <w:br w:type="textWrapping"/>
            </w:r>
            <w:r>
              <w:rPr>
                <w:rFonts w:hint="eastAsia" w:ascii="宋体" w:hAnsi="宋体"/>
                <w:kern w:val="0"/>
                <w:sz w:val="18"/>
                <w:szCs w:val="18"/>
              </w:rPr>
              <w:t>23. 拍照到剪切板功能：可把显微视频图像拍照到剪切板，在WORD或其他文档处理中进行快速粘贴，也可以在显微视频上进行粘贴，进行不同视场对比。</w:t>
            </w:r>
            <w:r>
              <w:rPr>
                <w:rFonts w:hint="eastAsia" w:ascii="宋体" w:hAnsi="宋体"/>
                <w:kern w:val="0"/>
                <w:sz w:val="18"/>
                <w:szCs w:val="18"/>
              </w:rPr>
              <w:br w:type="textWrapping"/>
            </w:r>
            <w:r>
              <w:rPr>
                <w:rFonts w:hint="eastAsia" w:ascii="宋体" w:hAnsi="宋体"/>
                <w:kern w:val="0"/>
                <w:sz w:val="18"/>
                <w:szCs w:val="18"/>
              </w:rPr>
              <w:t>24. 视频手势移动功能：按下鼠标左键可实时移动视频图像。</w:t>
            </w:r>
            <w:r>
              <w:rPr>
                <w:rFonts w:hint="eastAsia" w:ascii="宋体" w:hAnsi="宋体"/>
                <w:kern w:val="0"/>
                <w:sz w:val="18"/>
                <w:szCs w:val="18"/>
              </w:rPr>
              <w:br w:type="textWrapping"/>
            </w:r>
            <w:r>
              <w:rPr>
                <w:rFonts w:hint="eastAsia" w:ascii="宋体" w:hAnsi="宋体"/>
                <w:kern w:val="0"/>
                <w:sz w:val="18"/>
                <w:szCs w:val="18"/>
              </w:rPr>
              <w:t>25. 实时显微视频图像直方图显示。</w:t>
            </w:r>
            <w:r>
              <w:rPr>
                <w:rFonts w:hint="eastAsia" w:ascii="宋体" w:hAnsi="宋体"/>
                <w:kern w:val="0"/>
                <w:sz w:val="18"/>
                <w:szCs w:val="18"/>
              </w:rPr>
              <w:br w:type="textWrapping"/>
            </w:r>
            <w:r>
              <w:rPr>
                <w:rFonts w:hint="eastAsia" w:ascii="宋体" w:hAnsi="宋体"/>
                <w:kern w:val="0"/>
                <w:sz w:val="18"/>
                <w:szCs w:val="18"/>
              </w:rPr>
              <w:t>26. 实时显微视频图像清晰度数字辅助提示。</w:t>
            </w:r>
            <w:r>
              <w:rPr>
                <w:rFonts w:hint="eastAsia" w:ascii="宋体" w:hAnsi="宋体"/>
                <w:kern w:val="0"/>
                <w:sz w:val="18"/>
                <w:szCs w:val="18"/>
              </w:rPr>
              <w:br w:type="textWrapping"/>
            </w:r>
            <w:r>
              <w:rPr>
                <w:rFonts w:hint="eastAsia" w:ascii="宋体" w:hAnsi="宋体"/>
                <w:kern w:val="0"/>
                <w:sz w:val="18"/>
                <w:szCs w:val="18"/>
              </w:rPr>
              <w:t>27. 教师端图像支持区域曝光和区域白平衡功能，根据观察区域目标为标准进行准确曝光。</w:t>
            </w:r>
            <w:r>
              <w:rPr>
                <w:rFonts w:hint="eastAsia" w:ascii="宋体" w:hAnsi="宋体"/>
                <w:kern w:val="0"/>
                <w:sz w:val="18"/>
                <w:szCs w:val="18"/>
              </w:rPr>
              <w:br w:type="textWrapping"/>
            </w:r>
            <w:r>
              <w:rPr>
                <w:rFonts w:hint="eastAsia" w:ascii="宋体" w:hAnsi="宋体"/>
                <w:kern w:val="0"/>
                <w:sz w:val="18"/>
                <w:szCs w:val="18"/>
              </w:rPr>
              <w:t>28. 电子考试系统：提供试题库制作和试卷自动/手动生成功能：试卷可以作为在线测试（可提供手工，自动阅卷模式，并可实现实时考试成绩统计并导出为EXCEL文档），软件可以集成大量教师备课所需的多种素材，通过软件程序化的管理，使文本页与多媒体资源管理页有机结合。支持题库分级，按章节或按知识性质分类。</w:t>
            </w:r>
            <w:r>
              <w:rPr>
                <w:rFonts w:hint="eastAsia" w:ascii="宋体" w:hAnsi="宋体"/>
                <w:kern w:val="0"/>
                <w:sz w:val="18"/>
                <w:szCs w:val="18"/>
              </w:rPr>
              <w:br w:type="textWrapping"/>
            </w:r>
            <w:r>
              <w:rPr>
                <w:rFonts w:hint="eastAsia" w:ascii="宋体" w:hAnsi="宋体"/>
                <w:kern w:val="0"/>
                <w:sz w:val="18"/>
                <w:szCs w:val="18"/>
              </w:rPr>
              <w:t xml:space="preserve">29. 教师可在课堂上发起对学生的小测验。以考核学生的学习成果。教师添加试卷快速方便。试卷可利用试卷编辑器在家中完成。节约了课堂有限时间。可实现自动阅卷功能，并可以计算所有学生的总分和均分。教师也可对学生的答卷做人工批阅，统计结果。 </w:t>
            </w:r>
            <w:r>
              <w:rPr>
                <w:rFonts w:hint="eastAsia" w:ascii="宋体" w:hAnsi="宋体"/>
                <w:kern w:val="0"/>
                <w:sz w:val="18"/>
                <w:szCs w:val="18"/>
              </w:rPr>
              <w:br w:type="textWrapping"/>
            </w:r>
            <w:r>
              <w:rPr>
                <w:rFonts w:hint="eastAsia" w:ascii="宋体" w:hAnsi="宋体"/>
                <w:kern w:val="0"/>
                <w:sz w:val="18"/>
                <w:szCs w:val="18"/>
              </w:rPr>
              <w:t>30. 支持题目难度等级分类。</w:t>
            </w:r>
            <w:r>
              <w:rPr>
                <w:rFonts w:hint="eastAsia" w:ascii="宋体" w:hAnsi="宋体"/>
                <w:kern w:val="0"/>
                <w:sz w:val="18"/>
                <w:szCs w:val="18"/>
              </w:rPr>
              <w:br w:type="textWrapping"/>
            </w:r>
            <w:r>
              <w:rPr>
                <w:rFonts w:hint="eastAsia" w:ascii="宋体" w:hAnsi="宋体"/>
                <w:kern w:val="0"/>
                <w:sz w:val="18"/>
                <w:szCs w:val="18"/>
              </w:rPr>
              <w:t>31. 支持不同类型的题库（单项选择、多项选择、填空题、判断题、问答题、阅读理解题）和试题录入（导入），修改功能。</w:t>
            </w:r>
            <w:r>
              <w:rPr>
                <w:rFonts w:hint="eastAsia" w:ascii="宋体" w:hAnsi="宋体"/>
                <w:kern w:val="0"/>
                <w:sz w:val="18"/>
                <w:szCs w:val="18"/>
              </w:rPr>
              <w:br w:type="textWrapping"/>
            </w:r>
            <w:r>
              <w:rPr>
                <w:rFonts w:hint="eastAsia" w:ascii="宋体" w:hAnsi="宋体"/>
                <w:kern w:val="0"/>
                <w:sz w:val="18"/>
                <w:szCs w:val="18"/>
              </w:rPr>
              <w:t>32. 支持自动组卷和手工组卷；</w:t>
            </w:r>
            <w:r>
              <w:rPr>
                <w:rFonts w:hint="eastAsia" w:ascii="宋体" w:hAnsi="宋体"/>
                <w:kern w:val="0"/>
                <w:sz w:val="18"/>
                <w:szCs w:val="18"/>
              </w:rPr>
              <w:br w:type="textWrapping"/>
            </w:r>
            <w:r>
              <w:rPr>
                <w:rFonts w:hint="eastAsia" w:ascii="宋体" w:hAnsi="宋体"/>
                <w:kern w:val="0"/>
                <w:sz w:val="18"/>
                <w:szCs w:val="18"/>
              </w:rPr>
              <w:t>33. 支持自动收卷，强行收卷，主动交卷。</w:t>
            </w:r>
            <w:r>
              <w:rPr>
                <w:rFonts w:hint="eastAsia" w:ascii="宋体" w:hAnsi="宋体"/>
                <w:kern w:val="0"/>
                <w:sz w:val="18"/>
                <w:szCs w:val="18"/>
              </w:rPr>
              <w:br w:type="textWrapping"/>
            </w:r>
            <w:r>
              <w:rPr>
                <w:rFonts w:hint="eastAsia" w:ascii="宋体" w:hAnsi="宋体"/>
                <w:kern w:val="0"/>
                <w:sz w:val="18"/>
                <w:szCs w:val="18"/>
              </w:rPr>
              <w:t>34. 支持系统自动阅卷（客观题）和人工阅卷。</w:t>
            </w:r>
            <w:r>
              <w:rPr>
                <w:rFonts w:hint="eastAsia" w:ascii="宋体" w:hAnsi="宋体"/>
                <w:kern w:val="0"/>
                <w:sz w:val="18"/>
                <w:szCs w:val="18"/>
              </w:rPr>
              <w:br w:type="textWrapping"/>
            </w:r>
            <w:r>
              <w:rPr>
                <w:rFonts w:hint="eastAsia" w:ascii="宋体" w:hAnsi="宋体"/>
                <w:kern w:val="0"/>
                <w:sz w:val="18"/>
                <w:szCs w:val="18"/>
              </w:rPr>
              <w:t>35. 考试成绩自动统计并生成相应的图形报表和导出统计结果。</w:t>
            </w:r>
            <w:r>
              <w:rPr>
                <w:rFonts w:hint="eastAsia" w:ascii="宋体" w:hAnsi="宋体"/>
                <w:kern w:val="0"/>
                <w:sz w:val="18"/>
                <w:szCs w:val="18"/>
              </w:rPr>
              <w:br w:type="textWrapping"/>
            </w:r>
            <w:r>
              <w:rPr>
                <w:rFonts w:hint="eastAsia" w:ascii="宋体" w:hAnsi="宋体"/>
                <w:kern w:val="0"/>
                <w:sz w:val="18"/>
                <w:szCs w:val="18"/>
              </w:rPr>
              <w:t>36、软件自主开发，获得国家知识产权局证书</w:t>
            </w:r>
          </w:p>
          <w:p>
            <w:pPr>
              <w:widowControl/>
              <w:jc w:val="left"/>
              <w:rPr>
                <w:rFonts w:ascii="宋体" w:hAnsi="宋体"/>
                <w:kern w:val="0"/>
                <w:sz w:val="18"/>
                <w:szCs w:val="18"/>
              </w:rPr>
            </w:pPr>
            <w:r>
              <w:rPr>
                <w:rFonts w:hint="eastAsia" w:ascii="宋体" w:hAnsi="宋体"/>
                <w:kern w:val="0"/>
                <w:sz w:val="18"/>
                <w:szCs w:val="18"/>
              </w:rPr>
              <w:t>▲37.</w:t>
            </w:r>
            <w:r>
              <w:rPr>
                <w:rFonts w:hint="eastAsia" w:ascii="宋体" w:hAnsi="宋体"/>
                <w:sz w:val="18"/>
                <w:szCs w:val="18"/>
              </w:rPr>
              <w:t xml:space="preserve"> 提供</w:t>
            </w:r>
            <w:r>
              <w:rPr>
                <w:rFonts w:hint="eastAsia" w:ascii="宋体" w:hAnsi="宋体"/>
                <w:sz w:val="18"/>
                <w:szCs w:val="18"/>
                <w:lang w:val="en-US" w:eastAsia="zh-CN"/>
              </w:rPr>
              <w:t>检测机构</w:t>
            </w:r>
            <w:r>
              <w:rPr>
                <w:rFonts w:hint="eastAsia" w:ascii="宋体" w:hAnsi="宋体"/>
                <w:sz w:val="18"/>
                <w:szCs w:val="18"/>
              </w:rPr>
              <w:t>出具的数码显微互动系统检测报告复印件，加盖</w:t>
            </w:r>
            <w:r>
              <w:rPr>
                <w:rFonts w:hint="eastAsia" w:ascii="宋体" w:hAnsi="宋体"/>
                <w:sz w:val="18"/>
                <w:szCs w:val="18"/>
                <w:lang w:val="en-US" w:eastAsia="zh-CN"/>
              </w:rPr>
              <w:t>投标单位</w:t>
            </w:r>
            <w:r>
              <w:rPr>
                <w:rFonts w:hint="eastAsia" w:ascii="宋体" w:hAnsi="宋体"/>
                <w:sz w:val="18"/>
                <w:szCs w:val="18"/>
              </w:rPr>
              <w:t>公章</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教师端专业图像分析软件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numPr>
                <w:ilvl w:val="0"/>
                <w:numId w:val="8"/>
              </w:numPr>
              <w:jc w:val="left"/>
              <w:rPr>
                <w:rFonts w:hint="eastAsia" w:ascii="宋体" w:hAnsi="宋体"/>
                <w:kern w:val="0"/>
                <w:sz w:val="18"/>
                <w:szCs w:val="18"/>
              </w:rPr>
            </w:pPr>
            <w:r>
              <w:rPr>
                <w:rFonts w:hint="eastAsia" w:ascii="宋体" w:hAnsi="宋体"/>
                <w:kern w:val="0"/>
                <w:sz w:val="18"/>
                <w:szCs w:val="18"/>
              </w:rPr>
              <w:t>图像采集：可对实时图像进行捕捉、录像；</w:t>
            </w:r>
            <w:r>
              <w:rPr>
                <w:rFonts w:hint="eastAsia" w:ascii="宋体" w:hAnsi="宋体"/>
                <w:kern w:val="0"/>
                <w:sz w:val="18"/>
                <w:szCs w:val="18"/>
              </w:rPr>
              <w:br w:type="textWrapping"/>
            </w:r>
            <w:r>
              <w:rPr>
                <w:rFonts w:hint="eastAsia" w:ascii="宋体" w:hAnsi="宋体"/>
                <w:kern w:val="0"/>
                <w:sz w:val="18"/>
                <w:szCs w:val="18"/>
              </w:rPr>
              <w:t>2）图像管理：对图像文件进行新建、打开、编辑、保存、打印报告及相册管理等</w:t>
            </w:r>
            <w:r>
              <w:rPr>
                <w:rFonts w:hint="eastAsia" w:ascii="宋体" w:hAnsi="宋体"/>
                <w:kern w:val="0"/>
                <w:sz w:val="18"/>
                <w:szCs w:val="18"/>
              </w:rPr>
              <w:br w:type="textWrapping"/>
            </w:r>
            <w:r>
              <w:rPr>
                <w:rFonts w:hint="eastAsia" w:ascii="宋体" w:hAnsi="宋体"/>
                <w:kern w:val="0"/>
                <w:sz w:val="18"/>
                <w:szCs w:val="18"/>
              </w:rPr>
              <w:t>3）图像处理：调整、镜像、反转、白平衡、改变图像尺寸、三维化显示、放大镜、平滑、低通滤波、高通滤波、灰度形态学、其它过滤器、直方图均衡、发现边缘、自定义滤波器；</w:t>
            </w:r>
            <w:r>
              <w:rPr>
                <w:rFonts w:hint="eastAsia" w:ascii="宋体" w:hAnsi="宋体"/>
                <w:kern w:val="0"/>
                <w:sz w:val="18"/>
                <w:szCs w:val="18"/>
              </w:rPr>
              <w:br w:type="textWrapping"/>
            </w:r>
            <w:r>
              <w:rPr>
                <w:rFonts w:hint="eastAsia" w:ascii="宋体" w:hAnsi="宋体"/>
                <w:kern w:val="0"/>
                <w:sz w:val="18"/>
                <w:szCs w:val="18"/>
              </w:rPr>
              <w:t>4）校准与测量：校准尺度后对图像进行直线、矩形、圆、圆(3点)、椭圆、多边形、不规则多边形、角度、折线、面积等的测量；</w:t>
            </w:r>
            <w:r>
              <w:rPr>
                <w:rFonts w:hint="eastAsia" w:ascii="宋体" w:hAnsi="宋体"/>
                <w:kern w:val="0"/>
                <w:sz w:val="18"/>
                <w:szCs w:val="18"/>
              </w:rPr>
              <w:br w:type="textWrapping"/>
            </w:r>
            <w:r>
              <w:rPr>
                <w:rFonts w:hint="eastAsia" w:ascii="宋体" w:hAnsi="宋体"/>
                <w:kern w:val="0"/>
                <w:sz w:val="18"/>
                <w:szCs w:val="18"/>
              </w:rPr>
              <w:t>5）拍照与录像：可对显微图像进行实施拍照和动态录像</w:t>
            </w:r>
            <w:r>
              <w:rPr>
                <w:rFonts w:hint="eastAsia" w:ascii="宋体" w:hAnsi="宋体"/>
                <w:kern w:val="0"/>
                <w:sz w:val="18"/>
                <w:szCs w:val="18"/>
              </w:rPr>
              <w:br w:type="textWrapping"/>
            </w:r>
            <w:r>
              <w:rPr>
                <w:rFonts w:hint="eastAsia" w:ascii="宋体" w:hAnsi="宋体"/>
                <w:kern w:val="0"/>
                <w:sz w:val="18"/>
                <w:szCs w:val="18"/>
              </w:rPr>
              <w:t>6）图像分割处理：对图像进行分割和分割设置以及对分割结果进行自动计算、选取目标、目标腐蚀、目标扩展、填充孔洞、去除噪声、目标内轮廓、目标外轮廓、目标梯度和八种颜色分割等处理,对显微图像自动分析出结果，结果可用EXCEL导出；</w:t>
            </w:r>
            <w:r>
              <w:rPr>
                <w:rFonts w:hint="eastAsia" w:ascii="宋体" w:hAnsi="宋体"/>
                <w:kern w:val="0"/>
                <w:sz w:val="18"/>
                <w:szCs w:val="18"/>
              </w:rPr>
              <w:br w:type="textWrapping"/>
            </w:r>
            <w:r>
              <w:rPr>
                <w:rFonts w:hint="eastAsia" w:ascii="宋体" w:hAnsi="宋体"/>
                <w:kern w:val="0"/>
                <w:sz w:val="18"/>
                <w:szCs w:val="18"/>
              </w:rPr>
              <w:t>7）专业图像拼接：支持分别拍摄切片的各个部位图象进行手动或自动拼接，得到完整的切片图象；拼接速度快，准确</w:t>
            </w:r>
            <w:r>
              <w:rPr>
                <w:rFonts w:hint="eastAsia" w:ascii="宋体" w:hAnsi="宋体"/>
                <w:kern w:val="0"/>
                <w:sz w:val="18"/>
                <w:szCs w:val="18"/>
              </w:rPr>
              <w:br w:type="textWrapping"/>
            </w:r>
            <w:r>
              <w:rPr>
                <w:rFonts w:hint="eastAsia" w:ascii="宋体" w:hAnsi="宋体"/>
                <w:kern w:val="0"/>
                <w:sz w:val="18"/>
                <w:szCs w:val="18"/>
              </w:rPr>
              <w:t>8）去模糊多层聚焦：将不同焦面的图象进行自动叠加处理，得到清晰的图象，增加了显微镜高倍物镜的景深；</w:t>
            </w:r>
          </w:p>
          <w:p>
            <w:pPr>
              <w:widowControl/>
              <w:numPr>
                <w:ilvl w:val="0"/>
                <w:numId w:val="0"/>
              </w:numPr>
              <w:jc w:val="left"/>
              <w:rPr>
                <w:rFonts w:ascii="宋体" w:hAnsi="宋体"/>
                <w:kern w:val="0"/>
                <w:sz w:val="18"/>
                <w:szCs w:val="18"/>
              </w:rPr>
            </w:pPr>
            <w:r>
              <w:rPr>
                <w:rFonts w:hint="eastAsia" w:ascii="宋体" w:hAnsi="宋体"/>
                <w:kern w:val="0"/>
                <w:sz w:val="18"/>
                <w:szCs w:val="18"/>
              </w:rPr>
              <w:t>▲提供由制造商盖章的“计算机软件著作权登记证书”复印件。</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郡茂、舜宇、悦好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笔记本电脑</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操作系统：Win10中文版</w:t>
            </w:r>
            <w:r>
              <w:rPr>
                <w:rFonts w:hint="eastAsia" w:ascii="宋体" w:hAnsi="宋体"/>
                <w:kern w:val="0"/>
                <w:sz w:val="18"/>
                <w:szCs w:val="18"/>
              </w:rPr>
              <w:br w:type="textWrapping"/>
            </w:r>
            <w:r>
              <w:rPr>
                <w:rFonts w:hint="eastAsia" w:ascii="宋体" w:hAnsi="宋体"/>
                <w:kern w:val="0"/>
                <w:sz w:val="18"/>
                <w:szCs w:val="18"/>
              </w:rPr>
              <w:t>处理器：酷睿四核：</w:t>
            </w:r>
            <w:r>
              <w:rPr>
                <w:rFonts w:hint="eastAsia" w:ascii="宋体" w:hAnsi="宋体"/>
                <w:kern w:val="0"/>
                <w:sz w:val="18"/>
                <w:szCs w:val="18"/>
              </w:rPr>
              <w:br w:type="textWrapping"/>
            </w:r>
            <w:r>
              <w:rPr>
                <w:rFonts w:hint="eastAsia" w:ascii="宋体" w:hAnsi="宋体"/>
                <w:kern w:val="0"/>
                <w:sz w:val="18"/>
                <w:szCs w:val="18"/>
              </w:rPr>
              <w:t>CPU型号i5-8250U</w:t>
            </w:r>
            <w:r>
              <w:rPr>
                <w:rFonts w:hint="eastAsia" w:ascii="宋体" w:hAnsi="宋体"/>
                <w:kern w:val="0"/>
                <w:sz w:val="18"/>
                <w:szCs w:val="18"/>
              </w:rPr>
              <w:br w:type="textWrapping"/>
            </w:r>
            <w:r>
              <w:rPr>
                <w:rFonts w:hint="eastAsia" w:ascii="宋体" w:hAnsi="宋体"/>
                <w:kern w:val="0"/>
                <w:sz w:val="18"/>
                <w:szCs w:val="18"/>
              </w:rPr>
              <w:t>CPU速度：动态加速频率3.4GHz，三级缓存6M，内建GPU，Intel核芯显卡</w:t>
            </w:r>
            <w:r>
              <w:rPr>
                <w:rFonts w:hint="eastAsia" w:ascii="宋体" w:hAnsi="宋体"/>
                <w:kern w:val="0"/>
                <w:sz w:val="18"/>
                <w:szCs w:val="18"/>
              </w:rPr>
              <w:br w:type="textWrapping"/>
            </w:r>
            <w:r>
              <w:rPr>
                <w:rFonts w:hint="eastAsia" w:ascii="宋体" w:hAnsi="宋体"/>
                <w:kern w:val="0"/>
                <w:sz w:val="18"/>
                <w:szCs w:val="18"/>
              </w:rPr>
              <w:t>内存容量：≥4GB</w:t>
            </w:r>
            <w:r>
              <w:rPr>
                <w:rFonts w:hint="eastAsia" w:ascii="宋体" w:hAnsi="宋体"/>
                <w:kern w:val="0"/>
                <w:sz w:val="18"/>
                <w:szCs w:val="18"/>
              </w:rPr>
              <w:br w:type="textWrapping"/>
            </w:r>
            <w:r>
              <w:rPr>
                <w:rFonts w:hint="eastAsia" w:ascii="宋体" w:hAnsi="宋体"/>
                <w:kern w:val="0"/>
                <w:sz w:val="18"/>
                <w:szCs w:val="18"/>
              </w:rPr>
              <w:t>内存类型：DDR4 2400</w:t>
            </w:r>
            <w:r>
              <w:rPr>
                <w:rFonts w:hint="eastAsia" w:ascii="宋体" w:hAnsi="宋体"/>
                <w:kern w:val="0"/>
                <w:sz w:val="18"/>
                <w:szCs w:val="18"/>
              </w:rPr>
              <w:br w:type="textWrapping"/>
            </w:r>
            <w:r>
              <w:rPr>
                <w:rFonts w:hint="eastAsia" w:ascii="宋体" w:hAnsi="宋体"/>
                <w:kern w:val="0"/>
                <w:sz w:val="18"/>
                <w:szCs w:val="18"/>
              </w:rPr>
              <w:t>硬盘容量：≥500GB</w:t>
            </w:r>
            <w:r>
              <w:rPr>
                <w:rFonts w:hint="eastAsia" w:ascii="宋体" w:hAnsi="宋体"/>
                <w:kern w:val="0"/>
                <w:sz w:val="18"/>
                <w:szCs w:val="18"/>
              </w:rPr>
              <w:br w:type="textWrapping"/>
            </w:r>
            <w:r>
              <w:rPr>
                <w:rFonts w:hint="eastAsia" w:ascii="宋体" w:hAnsi="宋体"/>
                <w:kern w:val="0"/>
                <w:sz w:val="18"/>
                <w:szCs w:val="18"/>
              </w:rPr>
              <w:t>显卡：独立显卡</w:t>
            </w:r>
            <w:r>
              <w:rPr>
                <w:rFonts w:hint="eastAsia" w:ascii="宋体" w:hAnsi="宋体"/>
                <w:kern w:val="0"/>
                <w:sz w:val="18"/>
                <w:szCs w:val="18"/>
              </w:rPr>
              <w:br w:type="textWrapping"/>
            </w:r>
            <w:r>
              <w:rPr>
                <w:rFonts w:hint="eastAsia" w:ascii="宋体" w:hAnsi="宋体"/>
                <w:kern w:val="0"/>
                <w:sz w:val="18"/>
                <w:szCs w:val="18"/>
              </w:rPr>
              <w:t>显示芯片：AMD Radeon 530 2G DDR5</w:t>
            </w:r>
            <w:r>
              <w:rPr>
                <w:rFonts w:hint="eastAsia" w:ascii="宋体" w:hAnsi="宋体"/>
                <w:kern w:val="0"/>
                <w:sz w:val="18"/>
                <w:szCs w:val="18"/>
              </w:rPr>
              <w:br w:type="textWrapping"/>
            </w:r>
            <w:r>
              <w:rPr>
                <w:rFonts w:hint="eastAsia" w:ascii="宋体" w:hAnsi="宋体"/>
                <w:kern w:val="0"/>
                <w:sz w:val="18"/>
                <w:szCs w:val="18"/>
              </w:rPr>
              <w:t>显存容量：独立2GB</w:t>
            </w:r>
            <w:r>
              <w:rPr>
                <w:rFonts w:hint="eastAsia" w:ascii="宋体" w:hAnsi="宋体"/>
                <w:kern w:val="0"/>
                <w:sz w:val="18"/>
                <w:szCs w:val="18"/>
              </w:rPr>
              <w:br w:type="textWrapping"/>
            </w:r>
            <w:r>
              <w:rPr>
                <w:rFonts w:hint="eastAsia" w:ascii="宋体" w:hAnsi="宋体"/>
                <w:kern w:val="0"/>
                <w:sz w:val="18"/>
                <w:szCs w:val="18"/>
              </w:rPr>
              <w:t>屏幕尺寸：≥14英寸</w:t>
            </w:r>
            <w:r>
              <w:rPr>
                <w:rFonts w:hint="eastAsia" w:ascii="宋体" w:hAnsi="宋体"/>
                <w:kern w:val="0"/>
                <w:sz w:val="18"/>
                <w:szCs w:val="18"/>
              </w:rPr>
              <w:br w:type="textWrapping"/>
            </w:r>
            <w:r>
              <w:rPr>
                <w:rFonts w:hint="eastAsia" w:ascii="宋体" w:hAnsi="宋体"/>
                <w:kern w:val="0"/>
                <w:sz w:val="18"/>
                <w:szCs w:val="18"/>
              </w:rPr>
              <w:t>屏幕规格：14.0英寸</w:t>
            </w:r>
            <w:r>
              <w:rPr>
                <w:rFonts w:hint="eastAsia" w:ascii="宋体" w:hAnsi="宋体"/>
                <w:kern w:val="0"/>
                <w:sz w:val="18"/>
                <w:szCs w:val="18"/>
              </w:rPr>
              <w:br w:type="textWrapping"/>
            </w:r>
            <w:r>
              <w:rPr>
                <w:rFonts w:hint="eastAsia" w:ascii="宋体" w:hAnsi="宋体"/>
                <w:kern w:val="0"/>
                <w:sz w:val="18"/>
                <w:szCs w:val="18"/>
              </w:rPr>
              <w:t>显示比例：宽屏16：9</w:t>
            </w:r>
            <w:r>
              <w:rPr>
                <w:rFonts w:hint="eastAsia" w:ascii="宋体" w:hAnsi="宋体"/>
                <w:kern w:val="0"/>
                <w:sz w:val="18"/>
                <w:szCs w:val="18"/>
              </w:rPr>
              <w:br w:type="textWrapping"/>
            </w:r>
            <w:r>
              <w:rPr>
                <w:rFonts w:hint="eastAsia" w:ascii="宋体" w:hAnsi="宋体"/>
                <w:kern w:val="0"/>
                <w:sz w:val="18"/>
                <w:szCs w:val="18"/>
              </w:rPr>
              <w:t>物理分辨率：1920×1080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联想、惠普、戴尔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企业级无线路由器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包括8个千兆LAN、一个WAN、一个USB 3.0、一个USB 2.0以及重置按钮和供电孔，其中2个支持链路聚合技术。内搭载Broadcom 四核64位 BCM4908 处理器（28nm Cortex A53、1.8 GHz），集成1GB内存+16GB闪存，在高负载环境下处理器会自动分配资源，保证网络可以无延迟高速运行，支持IEEE 802.11ac/a/b/g/n协议，提供三频2.4G/2x5G无线，5GHz最高速率2167Mbps+2167Mbps，2.4GHz最高1000Mbps，系统会根据需要自动分配，进而避免干扰，提升稳定性和速度。其他方面，还拥有智能信号扩大、波束成形以及多用户Wave 2 MU-MIMO技术，还具有VPN加速和双拨功能等。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普联、华为、小米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数据采集器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不带屏,在连接计算机的状态下进行实验，传感器自动识别，即插即用，7个传感器接口，可同时采集不同的数据，支持USB接口，可通过USB方式直接供电，可自动升级以支持新开发的传感器或新增加的功能。</w:t>
            </w:r>
          </w:p>
          <w:p>
            <w:pPr>
              <w:widowControl/>
              <w:jc w:val="left"/>
              <w:rPr>
                <w:rFonts w:ascii="宋体" w:hAnsi="宋体"/>
                <w:kern w:val="0"/>
                <w:sz w:val="18"/>
                <w:szCs w:val="18"/>
              </w:rPr>
            </w:pPr>
            <w:r>
              <w:rPr>
                <w:rFonts w:hint="eastAsia" w:ascii="宋体" w:hAnsi="宋体"/>
                <w:kern w:val="0"/>
                <w:sz w:val="18"/>
                <w:szCs w:val="18"/>
              </w:rPr>
              <w:t>提供原厂授权书及原厂售后服务承诺函原件（合同签订前）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电压传感器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分辨率：0.01V量  程：±10V  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电流传感器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分辨率：0.01A量  程：±1A    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温度传感器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分辨率：0.05℃量  程：－10～110℃   不锈钢温度探针传感器为一体化设计；USB接口，能与普通电脑USB口直接连接采集实验数据；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光电门传感器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分辨率：0.1mS量  程：0-1000S ；USB接口，能与普通电脑USB口直接连接采集实验数据；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相对压强传感器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量   程：0—10kpa传感器为一体化设计；USB接口，能与普通电脑USB口直接连接采集实验数据；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热敏温度传感器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分辨率： 0.1℃量  程： 0℃～70℃传感器为一体化设计；USB接口，能与普通电脑USB口直接连接采集实验数据；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PH值传感器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量  程：0-14   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电导率传感器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量  程：0-20000μs/cm  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色度计</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量  程：吸光度0－100%   吸光度准确度：±1%传感器为一体化设计；USB接口，能与普通电脑USB口直接连接采集实验数据；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浊度计</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量  程：0—400NTU传感器为一体化设计；USB接口，能与普通电脑USB口直接连接采集实验数据；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高温传感器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量  程：-20-1200℃传感器为一体化设计；USB接口，能与普通电脑USB口直接连接采集实验数据；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氧气传感器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量  程：0-100%传感器为一体化设计；USB接口，能与普通电脑USB口直接连接采集实验数据；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二氧化碳传感器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 xml:space="preserve">量  程：0-50000ppm  无需外接电源传感器为一体化设计；USB接口，能与普通电脑USB口直接连接采集实验数据；   </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附件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含光盘、USB传感器线</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配套软件（含附件，软件光盘）</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软件符合新课程标准要求，能够完成新课标要求的实验，具备实验数据实时采集、显示、分析及所有学生实验数据存储功能；2、软件通过采用实验模板的方式来设置数据采集器及其连接的各类信号传感器的工作方式，即支持师生设计自己需要的实验方式，比如采样频率、坐标轴的设置、实验开始与结束时间的设置、实验时间长短的设置等；可设置传感器多种采集方式：连续采集、单点采集、值触发采样、量变化触发采样；可设置实验时间、实验次数，符合新课程改革探究性实验的需求；3、软件支持图形、表格、仪表、温度计等多种数据观察方式；4、多次实验曲线可以同屏显示，支持曲线的多种函数拟合、积分、放大、缩小、移动，能对同一实验多次采样获得的数据进行实验结果分析；5、可生成RTF格式的实验报告；6、能够按照指定的速率重放数据的采集过程；7、具有软件升级及二次开发功能。</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液滴计数器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液滴计数器配合传感器测量溶液滴定体积。</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多功能传感器支架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由压铸铝铗、机械臂和电极夹构成。机械臂固定在实验台边缘，不占用台面空间，可折叠、伸缩，能在三维空间内灵活移动并准确定位，稳定性好；电极夹夹具口适应各种生化传感器的电极。其可有效固定生化传感器电极，方便实验的操作</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稀释池</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倒置三角烧杯结构，上端开口，底端封闭，配匀速滴管。用于稀释倍数较大，且对初始溶解有一定量要求的实验</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育达、数好、创景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center"/>
          </w:tcPr>
          <w:p>
            <w:pPr>
              <w:widowControl/>
              <w:jc w:val="center"/>
              <w:rPr>
                <w:rFonts w:ascii="宋体" w:hAnsi="宋体"/>
                <w:b/>
                <w:bCs/>
                <w:kern w:val="0"/>
                <w:sz w:val="18"/>
                <w:szCs w:val="18"/>
              </w:rPr>
            </w:pPr>
            <w:r>
              <w:rPr>
                <w:rFonts w:hint="eastAsia" w:ascii="宋体" w:hAnsi="宋体"/>
                <w:b/>
                <w:bCs/>
                <w:kern w:val="0"/>
                <w:sz w:val="18"/>
                <w:szCs w:val="18"/>
              </w:rPr>
              <w:t>（二）实验室基础设备及多媒体</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收纳矮书架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800×400×700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双层设计，分2列空格，共4分格；</w:t>
            </w:r>
            <w:r>
              <w:rPr>
                <w:rFonts w:hint="eastAsia" w:ascii="宋体" w:hAnsi="宋体"/>
                <w:kern w:val="0"/>
                <w:sz w:val="18"/>
                <w:szCs w:val="18"/>
              </w:rPr>
              <w:br w:type="textWrapping"/>
            </w:r>
            <w:r>
              <w:rPr>
                <w:rFonts w:hint="eastAsia" w:ascii="宋体" w:hAnsi="宋体"/>
                <w:kern w:val="0"/>
                <w:sz w:val="18"/>
                <w:szCs w:val="18"/>
              </w:rPr>
              <w:t>1.基材：采用优质E1板材，桌体台面采用2mm厚封边条、柜体侧板（除与地面接触边）、柜体顶板、门板、抽面板等可见处采用2mm厚封边条，其余部位封1mm封边条。板件之间采用三合一连接和木梢的方式连接固定。</w:t>
            </w:r>
            <w:r>
              <w:rPr>
                <w:rFonts w:hint="eastAsia" w:ascii="宋体" w:hAnsi="宋体"/>
                <w:kern w:val="0"/>
                <w:sz w:val="18"/>
                <w:szCs w:val="18"/>
              </w:rPr>
              <w:br w:type="textWrapping"/>
            </w:r>
            <w:r>
              <w:rPr>
                <w:rFonts w:hint="eastAsia" w:ascii="宋体" w:hAnsi="宋体"/>
                <w:kern w:val="0"/>
                <w:sz w:val="18"/>
                <w:szCs w:val="18"/>
              </w:rPr>
              <w:t>2.封边：采用封边条厚度2.5MM的优质同色PVC封边条，无起花，异色边缘修饰平整、光滑。</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后墙储存矮柜（带锁)</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1000×500×1000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全钢结构。1.框架：采用1.2㎜厚镀锌钢板裁剪折弯后满焊点焊接，表面经EPOXY喷涂处理，连接件采用不锈钢连接件。2.柜体：侧板、背板采用采用1.2㎜厚镀锌钢板裁剪折弯后满焊点焊接，表面经EPOXY喷涂处理，连接件采用不锈钢连接件。3.柜门：采用1.2㎜厚镀锌钢板裁剪折弯后满焊点焊接，表面经EPOXY喷涂处理，对开门式设计。4.拉手：采用SUS304不锈钢C型拉手。5.铰链：采用定位铰链或2mm不锈钢合页。6.调整脚：采用ABS新料模具一体成型的承重型可调节地脚，螺丝SUS304不锈钢材质。7.顶面采用采用12.7mm厚抗倍特板制作，边沿镶边加厚至25mm厚；</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实物投影仪</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510×410×120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整机≥220倍放大,图像特技：正负片、冻结、旋转、标题、同屏对比、镜像、文本/图像、黑白/彩页.图像存储：有.同屏对比：有.USB2.0接口： 有(提供接口软件或附件，可供用户计算机程序实时调用展示台上实物摄像图像，并能控制展台物理操作).RGB输入输出：DB15FLC 各 2组.RGB输出分辨率：XGA、SXGA、WXGA、720P 16:9.镜头输出像素：320万.RS232接口：有.音频输入：3.5mm插口3组.音频输出：3.5mm插口1组.视频输入：RCA 1组.视频输出：RCA 1组,S-VIDEO 1组.麦克风输入： 麦克风插座.HDMI输入： 无.HDMI输出: 无.SD卡储存：不支持.侧灯： 2个1.0W LED.红,蓝增益： 有.亮度调节： 有.投影机开关/信号/输入切换： RS232控制.安全锁：有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鸿合、希沃、峰宁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电脑与多媒体设备调试</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品牌机，≥21英寸，宽视角一体机,全高清1920X1080，具有防眩光涂层，立式底座，第七代英特尔酷睿I3-7100U处理器，≥4GB DDR4 2400MHZ 内存/500G 5400RPM 硬盘，intel  HD Graphic 显卡/带无线及蓝牙功能，原厂三年免费质保；与原投影仪相连并进行调试</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联想、惠普、戴尔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立式空调</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5P及以上</w:t>
            </w:r>
            <w:r>
              <w:rPr>
                <w:rFonts w:hint="eastAsia" w:ascii="宋体" w:hAnsi="宋体"/>
                <w:kern w:val="0"/>
                <w:sz w:val="18"/>
                <w:szCs w:val="18"/>
              </w:rPr>
              <w:br w:type="textWrapping"/>
            </w:r>
            <w:r>
              <w:rPr>
                <w:rFonts w:hint="eastAsia" w:ascii="宋体" w:hAnsi="宋体"/>
                <w:kern w:val="0"/>
                <w:sz w:val="18"/>
                <w:szCs w:val="18"/>
              </w:rPr>
              <w:t>冷暖</w:t>
            </w:r>
            <w:r>
              <w:rPr>
                <w:rFonts w:hint="eastAsia" w:ascii="宋体" w:hAnsi="宋体"/>
                <w:kern w:val="0"/>
                <w:sz w:val="18"/>
                <w:szCs w:val="18"/>
              </w:rPr>
              <w:br w:type="textWrapping"/>
            </w:r>
            <w:r>
              <w:rPr>
                <w:rFonts w:hint="eastAsia" w:ascii="宋体" w:hAnsi="宋体"/>
                <w:kern w:val="0"/>
                <w:sz w:val="18"/>
                <w:szCs w:val="18"/>
              </w:rPr>
              <w:t>定频</w:t>
            </w:r>
            <w:r>
              <w:rPr>
                <w:rFonts w:hint="eastAsia" w:ascii="宋体" w:hAnsi="宋体"/>
                <w:kern w:val="0"/>
                <w:sz w:val="18"/>
                <w:szCs w:val="18"/>
              </w:rPr>
              <w:br w:type="textWrapping"/>
            </w:r>
            <w:r>
              <w:rPr>
                <w:rFonts w:hint="eastAsia" w:ascii="宋体" w:hAnsi="宋体"/>
                <w:kern w:val="0"/>
                <w:sz w:val="18"/>
                <w:szCs w:val="18"/>
              </w:rPr>
              <w:t>电辅加热</w:t>
            </w:r>
            <w:r>
              <w:rPr>
                <w:rFonts w:hint="eastAsia" w:ascii="宋体" w:hAnsi="宋体"/>
                <w:kern w:val="0"/>
                <w:sz w:val="18"/>
                <w:szCs w:val="18"/>
              </w:rPr>
              <w:br w:type="textWrapping"/>
            </w:r>
            <w:r>
              <w:rPr>
                <w:rFonts w:hint="eastAsia" w:ascii="宋体" w:hAnsi="宋体"/>
                <w:kern w:val="0"/>
                <w:sz w:val="18"/>
                <w:szCs w:val="18"/>
              </w:rPr>
              <w:t>制冷量(W)：12000</w:t>
            </w:r>
            <w:r>
              <w:rPr>
                <w:rFonts w:hint="eastAsia" w:ascii="宋体" w:hAnsi="宋体"/>
                <w:kern w:val="0"/>
                <w:sz w:val="18"/>
                <w:szCs w:val="18"/>
              </w:rPr>
              <w:br w:type="textWrapping"/>
            </w:r>
            <w:r>
              <w:rPr>
                <w:rFonts w:hint="eastAsia" w:ascii="宋体" w:hAnsi="宋体"/>
                <w:kern w:val="0"/>
                <w:sz w:val="18"/>
                <w:szCs w:val="18"/>
              </w:rPr>
              <w:t>制冷功率(W)：3680</w:t>
            </w:r>
            <w:r>
              <w:rPr>
                <w:rFonts w:hint="eastAsia" w:ascii="宋体" w:hAnsi="宋体"/>
                <w:kern w:val="0"/>
                <w:sz w:val="18"/>
                <w:szCs w:val="18"/>
              </w:rPr>
              <w:br w:type="textWrapping"/>
            </w:r>
            <w:r>
              <w:rPr>
                <w:rFonts w:hint="eastAsia" w:ascii="宋体" w:hAnsi="宋体"/>
                <w:kern w:val="0"/>
                <w:sz w:val="18"/>
                <w:szCs w:val="18"/>
              </w:rPr>
              <w:t>制热量(W)：14000</w:t>
            </w:r>
            <w:r>
              <w:rPr>
                <w:rFonts w:hint="eastAsia" w:ascii="宋体" w:hAnsi="宋体"/>
                <w:kern w:val="0"/>
                <w:sz w:val="18"/>
                <w:szCs w:val="18"/>
              </w:rPr>
              <w:br w:type="textWrapping"/>
            </w:r>
            <w:r>
              <w:rPr>
                <w:rFonts w:hint="eastAsia" w:ascii="宋体" w:hAnsi="宋体"/>
                <w:kern w:val="0"/>
                <w:sz w:val="18"/>
                <w:szCs w:val="18"/>
              </w:rPr>
              <w:t>制热功率(W)：3950</w:t>
            </w:r>
            <w:r>
              <w:rPr>
                <w:rFonts w:hint="eastAsia" w:ascii="宋体" w:hAnsi="宋体"/>
                <w:kern w:val="0"/>
                <w:sz w:val="18"/>
                <w:szCs w:val="18"/>
              </w:rPr>
              <w:br w:type="textWrapping"/>
            </w:r>
            <w:r>
              <w:rPr>
                <w:rFonts w:hint="eastAsia" w:ascii="宋体" w:hAnsi="宋体"/>
                <w:kern w:val="0"/>
                <w:sz w:val="18"/>
                <w:szCs w:val="18"/>
              </w:rPr>
              <w:t>电辅加热功率(W)：3500</w:t>
            </w:r>
            <w:r>
              <w:rPr>
                <w:rFonts w:hint="eastAsia" w:ascii="宋体" w:hAnsi="宋体"/>
                <w:kern w:val="0"/>
                <w:sz w:val="18"/>
                <w:szCs w:val="18"/>
              </w:rPr>
              <w:br w:type="textWrapping"/>
            </w:r>
            <w:r>
              <w:rPr>
                <w:rFonts w:hint="eastAsia" w:ascii="宋体" w:hAnsi="宋体"/>
                <w:kern w:val="0"/>
                <w:sz w:val="18"/>
                <w:szCs w:val="18"/>
              </w:rPr>
              <w:t>内机噪音(dB(A)：51/46/41</w:t>
            </w:r>
            <w:r>
              <w:rPr>
                <w:rFonts w:hint="eastAsia" w:ascii="宋体" w:hAnsi="宋体"/>
                <w:kern w:val="0"/>
                <w:sz w:val="18"/>
                <w:szCs w:val="18"/>
              </w:rPr>
              <w:br w:type="textWrapping"/>
            </w:r>
            <w:r>
              <w:rPr>
                <w:rFonts w:hint="eastAsia" w:ascii="宋体" w:hAnsi="宋体"/>
                <w:kern w:val="0"/>
                <w:sz w:val="18"/>
                <w:szCs w:val="18"/>
              </w:rPr>
              <w:t>外机噪音(dB(A)：58</w:t>
            </w:r>
            <w:r>
              <w:rPr>
                <w:rFonts w:hint="eastAsia" w:ascii="宋体" w:hAnsi="宋体"/>
                <w:kern w:val="0"/>
                <w:sz w:val="18"/>
                <w:szCs w:val="18"/>
              </w:rPr>
              <w:br w:type="textWrapping"/>
            </w:r>
            <w:r>
              <w:rPr>
                <w:rFonts w:hint="eastAsia" w:ascii="宋体" w:hAnsi="宋体"/>
                <w:kern w:val="0"/>
                <w:sz w:val="18"/>
                <w:szCs w:val="18"/>
              </w:rPr>
              <w:t>定频机能效比：3.19</w:t>
            </w:r>
            <w:r>
              <w:rPr>
                <w:rFonts w:hint="eastAsia" w:ascii="宋体" w:hAnsi="宋体"/>
                <w:kern w:val="0"/>
                <w:sz w:val="18"/>
                <w:szCs w:val="18"/>
              </w:rPr>
              <w:br w:type="textWrapping"/>
            </w:r>
            <w:r>
              <w:rPr>
                <w:rFonts w:hint="eastAsia" w:ascii="宋体" w:hAnsi="宋体"/>
                <w:kern w:val="0"/>
                <w:sz w:val="18"/>
                <w:szCs w:val="18"/>
              </w:rPr>
              <w:t>循环风量(m3/h)：2000</w:t>
            </w:r>
            <w:r>
              <w:rPr>
                <w:rFonts w:hint="eastAsia" w:ascii="宋体" w:hAnsi="宋体"/>
                <w:kern w:val="0"/>
                <w:sz w:val="18"/>
                <w:szCs w:val="18"/>
              </w:rPr>
              <w:br w:type="textWrapping"/>
            </w:r>
            <w:r>
              <w:rPr>
                <w:rFonts w:hint="eastAsia" w:ascii="宋体" w:hAnsi="宋体"/>
                <w:kern w:val="0"/>
                <w:sz w:val="18"/>
                <w:szCs w:val="18"/>
              </w:rPr>
              <w:t>上下/左右扫风</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空调辅材及安装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包含：连机铜管、电源线、PVC排水管、吊杆、支架。人工费、安装费等辅助。</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center"/>
          </w:tcPr>
          <w:p>
            <w:pPr>
              <w:widowControl/>
              <w:jc w:val="center"/>
              <w:rPr>
                <w:rFonts w:ascii="宋体" w:hAnsi="宋体"/>
                <w:b/>
                <w:bCs/>
                <w:kern w:val="0"/>
                <w:sz w:val="18"/>
                <w:szCs w:val="18"/>
              </w:rPr>
            </w:pPr>
            <w:r>
              <w:rPr>
                <w:rFonts w:hint="eastAsia" w:ascii="宋体" w:hAnsi="宋体"/>
                <w:b/>
                <w:bCs/>
                <w:kern w:val="0"/>
                <w:sz w:val="18"/>
                <w:szCs w:val="18"/>
              </w:rPr>
              <w:t>（三）实验室主体构架建设及文化展示</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生物文化展示展板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要求结构符合整体设计理念，符合整体生物课程基地特色展示构造，内容要求满足生物基础实验室课程设计要求，材质采用高强度雪弗板，贴高清写真画面。含设计、安装。尺寸不小于600*800mm；</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桌体修复及更新配件安装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满足学校原有实验桌的修复更新人工及配件安装</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局部乳胶漆涂装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内容包括局部墙面修复、底面刮灰、面涂白色或彩色涂料，二底二面。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空调线路系统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空调电线铺设及穿管布线等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60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熊猫、起帆、正泰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安装辅材</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配套安装辅材、连接件、安装配件等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center"/>
          </w:tcPr>
          <w:p>
            <w:pPr>
              <w:widowControl/>
              <w:jc w:val="left"/>
              <w:rPr>
                <w:rFonts w:ascii="宋体" w:hAnsi="宋体"/>
                <w:b/>
                <w:bCs/>
                <w:kern w:val="0"/>
                <w:sz w:val="18"/>
                <w:szCs w:val="18"/>
              </w:rPr>
            </w:pPr>
            <w:r>
              <w:rPr>
                <w:rFonts w:hint="eastAsia" w:ascii="宋体" w:hAnsi="宋体"/>
                <w:b/>
                <w:bCs/>
                <w:kern w:val="0"/>
                <w:sz w:val="18"/>
                <w:szCs w:val="18"/>
              </w:rPr>
              <w:t>八、组织培育与微生物发酵综合实验室</w:t>
            </w: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1168" w:type="dxa"/>
            <w:vAlign w:val="center"/>
          </w:tcPr>
          <w:p>
            <w:pPr>
              <w:widowControl/>
              <w:jc w:val="center"/>
              <w:rPr>
                <w:rFonts w:ascii="宋体" w:hAnsi="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center"/>
          </w:tcPr>
          <w:p>
            <w:pPr>
              <w:widowControl/>
              <w:jc w:val="center"/>
              <w:rPr>
                <w:rFonts w:ascii="宋体" w:hAnsi="宋体"/>
                <w:b/>
                <w:bCs/>
                <w:kern w:val="0"/>
                <w:sz w:val="18"/>
                <w:szCs w:val="18"/>
              </w:rPr>
            </w:pPr>
            <w:r>
              <w:rPr>
                <w:rFonts w:hint="eastAsia" w:ascii="宋体" w:hAnsi="宋体"/>
                <w:b/>
                <w:bCs/>
                <w:kern w:val="0"/>
                <w:sz w:val="18"/>
                <w:szCs w:val="18"/>
              </w:rPr>
              <w:t>（一）实验室仪器</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556" w:type="dxa"/>
            <w:vAlign w:val="center"/>
          </w:tcPr>
          <w:p>
            <w:pPr>
              <w:widowControl/>
              <w:jc w:val="center"/>
              <w:rPr>
                <w:rFonts w:ascii="宋体" w:hAnsi="宋体"/>
                <w:b/>
                <w:bCs/>
                <w:kern w:val="0"/>
                <w:sz w:val="18"/>
                <w:szCs w:val="18"/>
              </w:rPr>
            </w:pPr>
          </w:p>
        </w:tc>
        <w:tc>
          <w:tcPr>
            <w:tcW w:w="1168" w:type="dxa"/>
            <w:vAlign w:val="center"/>
          </w:tcPr>
          <w:p>
            <w:pPr>
              <w:widowControl/>
              <w:jc w:val="center"/>
              <w:rPr>
                <w:rFonts w:ascii="宋体" w:hAnsi="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旋涡振荡器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液体、粉剂、小颗粒等振动混合f=2800次/分</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久平、川布兰、沪析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智能PH计</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1.仪器级别：0.01级；2。测量范围：PH：（0.00~14.00）PH  mV：（-1999~1999）mV；3.温度：-5.0~105.0（℃）；4.电子单元基本误差PH：±0.01 mV:0.1%(FS)；5.温度：0.3（℃）；6.输入阻抗：3×1012Ω；7.稳定性：±0.01；8.温度补偿范围：0~100（℃）；9.电源：AC 220(V)。</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雷磁、川布兰、三信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生化培养箱</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1、箱体采用优质钢板制作而成，表面喷塑，内胆采用医用镜面不锈钢，易清洁，箱内搁板间距可调，大视角观察窗；</w:t>
            </w:r>
            <w:r>
              <w:rPr>
                <w:rFonts w:hint="eastAsia" w:ascii="宋体" w:hAnsi="宋体"/>
                <w:kern w:val="0"/>
                <w:sz w:val="18"/>
                <w:szCs w:val="18"/>
              </w:rPr>
              <w:br w:type="textWrapping"/>
            </w:r>
            <w:r>
              <w:rPr>
                <w:rFonts w:hint="eastAsia" w:ascii="宋体" w:hAnsi="宋体"/>
                <w:kern w:val="0"/>
                <w:sz w:val="18"/>
                <w:szCs w:val="18"/>
              </w:rPr>
              <w:t>2、●微电脑智能数显控温仪，PID控制，触摸型按键，同时显示设定温度和箱内温度，控温精度可靠，具有定时功能，并具有超温保护装置，声光报警功能；</w:t>
            </w:r>
            <w:r>
              <w:rPr>
                <w:rFonts w:hint="eastAsia" w:ascii="宋体" w:hAnsi="宋体"/>
                <w:kern w:val="0"/>
                <w:sz w:val="18"/>
                <w:szCs w:val="18"/>
              </w:rPr>
              <w:br w:type="textWrapping"/>
            </w:r>
            <w:r>
              <w:rPr>
                <w:rFonts w:hint="eastAsia" w:ascii="宋体" w:hAnsi="宋体"/>
                <w:kern w:val="0"/>
                <w:sz w:val="18"/>
                <w:szCs w:val="18"/>
              </w:rPr>
              <w:t>3、采用品牌压缩机，环保制冷剂，效率高，能耗低，促进节能。</w:t>
            </w:r>
            <w:r>
              <w:rPr>
                <w:rFonts w:hint="eastAsia" w:ascii="宋体" w:hAnsi="宋体"/>
                <w:kern w:val="0"/>
                <w:sz w:val="18"/>
                <w:szCs w:val="18"/>
              </w:rPr>
              <w:br w:type="textWrapping"/>
            </w:r>
            <w:r>
              <w:rPr>
                <w:rFonts w:hint="eastAsia" w:ascii="宋体" w:hAnsi="宋体"/>
                <w:kern w:val="0"/>
                <w:sz w:val="18"/>
                <w:szCs w:val="18"/>
              </w:rPr>
              <w:t>4、微风机组成合理先进的温度循环系统，使箱内温度均匀。</w:t>
            </w:r>
            <w:r>
              <w:rPr>
                <w:rFonts w:hint="eastAsia" w:ascii="宋体" w:hAnsi="宋体"/>
                <w:kern w:val="0"/>
                <w:sz w:val="18"/>
                <w:szCs w:val="18"/>
              </w:rPr>
              <w:br w:type="textWrapping"/>
            </w:r>
            <w:r>
              <w:rPr>
                <w:rFonts w:hint="eastAsia" w:ascii="宋体" w:hAnsi="宋体"/>
                <w:kern w:val="0"/>
                <w:sz w:val="18"/>
                <w:szCs w:val="18"/>
              </w:rPr>
              <w:t>5、箱内有照明灯，可观察箱内培养物；</w:t>
            </w:r>
            <w:r>
              <w:rPr>
                <w:rFonts w:hint="eastAsia" w:ascii="宋体" w:hAnsi="宋体"/>
                <w:kern w:val="0"/>
                <w:sz w:val="18"/>
                <w:szCs w:val="18"/>
              </w:rPr>
              <w:br w:type="textWrapping"/>
            </w:r>
            <w:r>
              <w:rPr>
                <w:rFonts w:hint="eastAsia" w:ascii="宋体" w:hAnsi="宋体"/>
                <w:kern w:val="0"/>
                <w:sz w:val="18"/>
                <w:szCs w:val="18"/>
              </w:rPr>
              <w:t>6、可配RS-485接口，可连接打印机和计算机，记录温度参数的变化情况；</w:t>
            </w:r>
            <w:r>
              <w:rPr>
                <w:rFonts w:hint="eastAsia" w:ascii="宋体" w:hAnsi="宋体"/>
                <w:kern w:val="0"/>
                <w:sz w:val="18"/>
                <w:szCs w:val="18"/>
              </w:rPr>
              <w:br w:type="textWrapping"/>
            </w:r>
            <w:r>
              <w:rPr>
                <w:rFonts w:hint="eastAsia" w:ascii="宋体" w:hAnsi="宋体"/>
                <w:kern w:val="0"/>
                <w:sz w:val="18"/>
                <w:szCs w:val="18"/>
              </w:rPr>
              <w:t>7、控温范围：5℃-60℃；环境温度：5℃-30℃</w:t>
            </w:r>
            <w:r>
              <w:rPr>
                <w:rFonts w:hint="eastAsia" w:ascii="宋体" w:hAnsi="宋体"/>
                <w:kern w:val="0"/>
                <w:sz w:val="18"/>
                <w:szCs w:val="18"/>
              </w:rPr>
              <w:br w:type="textWrapping"/>
            </w:r>
            <w:r>
              <w:rPr>
                <w:rFonts w:hint="eastAsia" w:ascii="宋体" w:hAnsi="宋体"/>
                <w:kern w:val="0"/>
                <w:sz w:val="18"/>
                <w:szCs w:val="18"/>
              </w:rPr>
              <w:t>8、时间控制范围：可连续运行，并可在0-9999min内任意设定，实现定时控制；</w:t>
            </w:r>
            <w:r>
              <w:rPr>
                <w:rFonts w:hint="eastAsia" w:ascii="宋体" w:hAnsi="宋体"/>
                <w:kern w:val="0"/>
                <w:sz w:val="18"/>
                <w:szCs w:val="18"/>
              </w:rPr>
              <w:br w:type="textWrapping"/>
            </w:r>
            <w:r>
              <w:rPr>
                <w:rFonts w:hint="eastAsia" w:ascii="宋体" w:hAnsi="宋体"/>
                <w:kern w:val="0"/>
                <w:sz w:val="18"/>
                <w:szCs w:val="18"/>
              </w:rPr>
              <w:t>9、控温精度：0.1℃；温度波动度：≤±0.5℃；温度均匀性：≤±1℃</w:t>
            </w:r>
            <w:r>
              <w:rPr>
                <w:rFonts w:hint="eastAsia" w:ascii="宋体" w:hAnsi="宋体"/>
                <w:kern w:val="0"/>
                <w:sz w:val="18"/>
                <w:szCs w:val="18"/>
              </w:rPr>
              <w:br w:type="textWrapping"/>
            </w:r>
            <w:r>
              <w:rPr>
                <w:rFonts w:hint="eastAsia" w:ascii="宋体" w:hAnsi="宋体"/>
                <w:kern w:val="0"/>
                <w:sz w:val="18"/>
                <w:szCs w:val="18"/>
              </w:rPr>
              <w:t>10、加热功率：300w，制冷功率：250w；</w:t>
            </w:r>
            <w:r>
              <w:rPr>
                <w:rFonts w:hint="eastAsia" w:ascii="宋体" w:hAnsi="宋体"/>
                <w:kern w:val="0"/>
                <w:sz w:val="18"/>
                <w:szCs w:val="18"/>
              </w:rPr>
              <w:br w:type="textWrapping"/>
            </w:r>
            <w:r>
              <w:rPr>
                <w:rFonts w:hint="eastAsia" w:ascii="宋体" w:hAnsi="宋体"/>
                <w:kern w:val="0"/>
                <w:sz w:val="18"/>
                <w:szCs w:val="18"/>
              </w:rPr>
              <w:t>11、载物托盘：4块（可扩展）；</w:t>
            </w:r>
            <w:r>
              <w:rPr>
                <w:rFonts w:hint="eastAsia" w:ascii="宋体" w:hAnsi="宋体"/>
                <w:kern w:val="0"/>
                <w:sz w:val="18"/>
                <w:szCs w:val="18"/>
              </w:rPr>
              <w:br w:type="textWrapping"/>
            </w:r>
            <w:r>
              <w:rPr>
                <w:rFonts w:hint="eastAsia" w:ascii="宋体" w:hAnsi="宋体"/>
                <w:kern w:val="0"/>
                <w:sz w:val="18"/>
                <w:szCs w:val="18"/>
              </w:rPr>
              <w:t>12、容积：≥250L</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新苗、川布兰、一恒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超净工作台</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1.单人单面超净工作台，垂直单向流形，准闭合式台面，可有效防止外部气流透入及操作异味对人体的刺激；</w:t>
            </w:r>
            <w:r>
              <w:rPr>
                <w:rFonts w:hint="eastAsia" w:ascii="宋体" w:hAnsi="宋体"/>
                <w:kern w:val="0"/>
                <w:sz w:val="18"/>
                <w:szCs w:val="18"/>
              </w:rPr>
              <w:br w:type="textWrapping"/>
            </w:r>
            <w:r>
              <w:rPr>
                <w:rFonts w:hint="eastAsia" w:ascii="宋体" w:hAnsi="宋体"/>
                <w:kern w:val="0"/>
                <w:sz w:val="18"/>
                <w:szCs w:val="18"/>
              </w:rPr>
              <w:t>2.超净台正面和台面采用不锈钢材质，经久耐用，易于除菌消毒，美观大方；</w:t>
            </w:r>
            <w:r>
              <w:rPr>
                <w:rFonts w:hint="eastAsia" w:ascii="宋体" w:hAnsi="宋体"/>
                <w:kern w:val="0"/>
                <w:sz w:val="18"/>
                <w:szCs w:val="18"/>
              </w:rPr>
              <w:br w:type="textWrapping"/>
            </w:r>
            <w:r>
              <w:rPr>
                <w:rFonts w:hint="eastAsia" w:ascii="宋体" w:hAnsi="宋体"/>
                <w:kern w:val="0"/>
                <w:sz w:val="18"/>
                <w:szCs w:val="18"/>
              </w:rPr>
              <w:t>3.采用可调风量风机系统，轻触型开关，无级调节电压大小，保证工作区风速始终处于理想状态。</w:t>
            </w:r>
            <w:r>
              <w:rPr>
                <w:rFonts w:hint="eastAsia" w:ascii="宋体" w:hAnsi="宋体"/>
                <w:kern w:val="0"/>
                <w:sz w:val="18"/>
                <w:szCs w:val="18"/>
              </w:rPr>
              <w:br w:type="textWrapping"/>
            </w:r>
            <w:r>
              <w:rPr>
                <w:rFonts w:hint="eastAsia" w:ascii="宋体" w:hAnsi="宋体"/>
                <w:kern w:val="0"/>
                <w:sz w:val="18"/>
                <w:szCs w:val="18"/>
              </w:rPr>
              <w:t>4.●洁净等级 100级@ 0.5um(美联邦209E)； 菌落数 ≤0.5个/皿.时(Φ90mm 培养平皿) ；</w:t>
            </w:r>
            <w:r>
              <w:rPr>
                <w:rFonts w:hint="eastAsia" w:ascii="宋体" w:hAnsi="宋体"/>
                <w:kern w:val="0"/>
                <w:sz w:val="18"/>
                <w:szCs w:val="18"/>
              </w:rPr>
              <w:br w:type="textWrapping"/>
            </w:r>
            <w:r>
              <w:rPr>
                <w:rFonts w:hint="eastAsia" w:ascii="宋体" w:hAnsi="宋体"/>
                <w:kern w:val="0"/>
                <w:sz w:val="18"/>
                <w:szCs w:val="18"/>
              </w:rPr>
              <w:t xml:space="preserve">5.平均风速 0.3--0.45m/s(可调)； </w:t>
            </w:r>
            <w:r>
              <w:rPr>
                <w:rFonts w:hint="eastAsia" w:ascii="宋体" w:hAnsi="宋体"/>
                <w:kern w:val="0"/>
                <w:sz w:val="18"/>
                <w:szCs w:val="18"/>
              </w:rPr>
              <w:br w:type="textWrapping"/>
            </w:r>
            <w:r>
              <w:rPr>
                <w:rFonts w:hint="eastAsia" w:ascii="宋体" w:hAnsi="宋体"/>
                <w:kern w:val="0"/>
                <w:sz w:val="18"/>
                <w:szCs w:val="18"/>
              </w:rPr>
              <w:t xml:space="preserve">6.噪声 62dB(A)； </w:t>
            </w:r>
            <w:r>
              <w:rPr>
                <w:rFonts w:hint="eastAsia" w:ascii="宋体" w:hAnsi="宋体"/>
                <w:kern w:val="0"/>
                <w:sz w:val="18"/>
                <w:szCs w:val="18"/>
              </w:rPr>
              <w:br w:type="textWrapping"/>
            </w:r>
            <w:r>
              <w:rPr>
                <w:rFonts w:hint="eastAsia" w:ascii="宋体" w:hAnsi="宋体"/>
                <w:kern w:val="0"/>
                <w:sz w:val="18"/>
                <w:szCs w:val="18"/>
              </w:rPr>
              <w:t xml:space="preserve">7.光照度 ≥300LX； </w:t>
            </w:r>
            <w:r>
              <w:rPr>
                <w:rFonts w:hint="eastAsia" w:ascii="宋体" w:hAnsi="宋体"/>
                <w:kern w:val="0"/>
                <w:sz w:val="18"/>
                <w:szCs w:val="18"/>
              </w:rPr>
              <w:br w:type="textWrapping"/>
            </w:r>
            <w:r>
              <w:rPr>
                <w:rFonts w:hint="eastAsia" w:ascii="宋体" w:hAnsi="宋体"/>
                <w:kern w:val="0"/>
                <w:sz w:val="18"/>
                <w:szCs w:val="18"/>
              </w:rPr>
              <w:t>8.电源: 单向交流 220V/50HZ；最大功耗 0.3kw，内有容量400w插座</w:t>
            </w:r>
            <w:r>
              <w:rPr>
                <w:rFonts w:hint="eastAsia" w:ascii="宋体" w:hAnsi="宋体"/>
                <w:kern w:val="0"/>
                <w:sz w:val="18"/>
                <w:szCs w:val="18"/>
              </w:rPr>
              <w:br w:type="textWrapping"/>
            </w:r>
            <w:r>
              <w:rPr>
                <w:rFonts w:hint="eastAsia" w:ascii="宋体" w:hAnsi="宋体"/>
                <w:kern w:val="0"/>
                <w:sz w:val="18"/>
                <w:szCs w:val="18"/>
              </w:rPr>
              <w:t xml:space="preserve">9.振动半峰值 ≤0.5μm(X.Y.Z方向)； </w:t>
            </w:r>
            <w:r>
              <w:rPr>
                <w:rFonts w:hint="eastAsia" w:ascii="宋体" w:hAnsi="宋体"/>
                <w:kern w:val="0"/>
                <w:sz w:val="18"/>
                <w:szCs w:val="18"/>
              </w:rPr>
              <w:br w:type="textWrapping"/>
            </w:r>
            <w:r>
              <w:rPr>
                <w:rFonts w:hint="eastAsia" w:ascii="宋体" w:hAnsi="宋体"/>
                <w:kern w:val="0"/>
                <w:sz w:val="18"/>
                <w:szCs w:val="18"/>
              </w:rPr>
              <w:t>10.外型尺寸 850×580×1530mm；工作区尺寸 700×500×500mm；</w:t>
            </w:r>
            <w:r>
              <w:rPr>
                <w:rFonts w:hint="eastAsia" w:ascii="宋体" w:hAnsi="宋体"/>
                <w:kern w:val="0"/>
                <w:sz w:val="18"/>
                <w:szCs w:val="18"/>
              </w:rPr>
              <w:br w:type="textWrapping"/>
            </w:r>
            <w:r>
              <w:rPr>
                <w:rFonts w:hint="eastAsia" w:ascii="宋体" w:hAnsi="宋体"/>
                <w:kern w:val="0"/>
                <w:sz w:val="18"/>
                <w:szCs w:val="18"/>
              </w:rPr>
              <w:t xml:space="preserve">11.高效过滤器规格及数量 695×455×50一个； 荧光灯15w一个，紫外灯15w一个； </w:t>
            </w:r>
            <w:r>
              <w:rPr>
                <w:rFonts w:hint="eastAsia" w:ascii="宋体" w:hAnsi="宋体"/>
                <w:kern w:val="0"/>
                <w:sz w:val="18"/>
                <w:szCs w:val="18"/>
              </w:rPr>
              <w:br w:type="textWrapping"/>
            </w:r>
            <w:r>
              <w:rPr>
                <w:rFonts w:hint="eastAsia" w:ascii="宋体" w:hAnsi="宋体"/>
                <w:kern w:val="0"/>
                <w:sz w:val="18"/>
                <w:szCs w:val="18"/>
              </w:rPr>
              <w:t>12.内置专利紫外防护装置。</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6</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苏净、川布兰、安泰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接种器具杀菌器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1、接种灭菌器基于电子红外线原理，产品广泛应用于接种环或接种针的消毒灭菌，完全替代酒精灯。</w:t>
            </w:r>
            <w:r>
              <w:rPr>
                <w:rFonts w:hint="eastAsia" w:ascii="宋体" w:hAnsi="宋体"/>
                <w:kern w:val="0"/>
                <w:sz w:val="18"/>
                <w:szCs w:val="18"/>
              </w:rPr>
              <w:br w:type="textWrapping"/>
            </w:r>
            <w:r>
              <w:rPr>
                <w:rFonts w:hint="eastAsia" w:ascii="宋体" w:hAnsi="宋体"/>
                <w:kern w:val="0"/>
                <w:sz w:val="18"/>
                <w:szCs w:val="18"/>
              </w:rPr>
              <w:t>2、加热孔内温度可达到800℃以上，杀菌只需要5-7秒，灭菌彻底。产品可用于厌氧室中。</w:t>
            </w:r>
            <w:r>
              <w:rPr>
                <w:rFonts w:hint="eastAsia" w:ascii="宋体" w:hAnsi="宋体"/>
                <w:kern w:val="0"/>
                <w:sz w:val="18"/>
                <w:szCs w:val="18"/>
              </w:rPr>
              <w:br w:type="textWrapping"/>
            </w:r>
            <w:r>
              <w:rPr>
                <w:rFonts w:hint="eastAsia" w:ascii="宋体" w:hAnsi="宋体"/>
                <w:kern w:val="0"/>
                <w:sz w:val="18"/>
                <w:szCs w:val="18"/>
              </w:rPr>
              <w:t>3、体积小，重量轻，外观美观易清洁。加热主体可以调节角度，操作简便。</w:t>
            </w:r>
            <w:r>
              <w:rPr>
                <w:rFonts w:hint="eastAsia" w:ascii="宋体" w:hAnsi="宋体"/>
                <w:kern w:val="0"/>
                <w:sz w:val="18"/>
                <w:szCs w:val="18"/>
              </w:rPr>
              <w:br w:type="textWrapping"/>
            </w:r>
            <w:r>
              <w:rPr>
                <w:rFonts w:hint="eastAsia" w:ascii="宋体" w:hAnsi="宋体"/>
                <w:kern w:val="0"/>
                <w:sz w:val="18"/>
                <w:szCs w:val="18"/>
              </w:rPr>
              <w:t>4、在陶瓷漏斗管道的深处灰化有机物质，防止传染性溅污和交叉污染。</w:t>
            </w:r>
            <w:r>
              <w:rPr>
                <w:rFonts w:hint="eastAsia" w:ascii="宋体" w:hAnsi="宋体"/>
                <w:kern w:val="0"/>
                <w:sz w:val="18"/>
                <w:szCs w:val="18"/>
              </w:rPr>
              <w:br w:type="textWrapping"/>
            </w:r>
            <w:r>
              <w:rPr>
                <w:rFonts w:hint="eastAsia" w:ascii="宋体" w:hAnsi="宋体"/>
                <w:kern w:val="0"/>
                <w:sz w:val="18"/>
                <w:szCs w:val="18"/>
              </w:rPr>
              <w:t>5、最大消毒物外经：14mm；加温区总长：140mm</w:t>
            </w:r>
            <w:r>
              <w:rPr>
                <w:rFonts w:hint="eastAsia" w:ascii="宋体" w:hAnsi="宋体"/>
                <w:kern w:val="0"/>
                <w:sz w:val="18"/>
                <w:szCs w:val="18"/>
              </w:rPr>
              <w:br w:type="textWrapping"/>
            </w:r>
            <w:r>
              <w:rPr>
                <w:rFonts w:hint="eastAsia" w:ascii="宋体" w:hAnsi="宋体"/>
                <w:kern w:val="0"/>
                <w:sz w:val="18"/>
                <w:szCs w:val="18"/>
              </w:rPr>
              <w:t>6、精确控温技术，避免加热元器件超负荷工作，使用寿命长。</w:t>
            </w:r>
            <w:r>
              <w:rPr>
                <w:rFonts w:hint="eastAsia" w:ascii="宋体" w:hAnsi="宋体"/>
                <w:kern w:val="0"/>
                <w:sz w:val="18"/>
                <w:szCs w:val="18"/>
              </w:rPr>
              <w:br w:type="textWrapping"/>
            </w:r>
            <w:r>
              <w:rPr>
                <w:rFonts w:hint="eastAsia" w:ascii="宋体" w:hAnsi="宋体"/>
                <w:kern w:val="0"/>
                <w:sz w:val="18"/>
                <w:szCs w:val="18"/>
              </w:rPr>
              <w:t>7、角度可调整，方便使用</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其林贝尔、川布兰、荣华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b/>
                <w:bCs/>
                <w:kern w:val="0"/>
                <w:sz w:val="18"/>
                <w:szCs w:val="18"/>
              </w:rPr>
            </w:pPr>
            <w:r>
              <w:rPr>
                <w:rFonts w:hint="eastAsia" w:ascii="宋体" w:hAnsi="宋体"/>
                <w:b/>
                <w:bCs/>
                <w:kern w:val="0"/>
                <w:sz w:val="18"/>
                <w:szCs w:val="18"/>
              </w:rPr>
              <w:t>微量可调移液器（投标时提供样品演示）</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1.整支可以121度灭菌，单道可调量程移液器；</w:t>
            </w:r>
            <w:r>
              <w:rPr>
                <w:rFonts w:hint="eastAsia" w:ascii="宋体" w:hAnsi="宋体"/>
                <w:kern w:val="0"/>
                <w:sz w:val="18"/>
                <w:szCs w:val="18"/>
              </w:rPr>
              <w:br w:type="textWrapping"/>
            </w:r>
            <w:r>
              <w:rPr>
                <w:rFonts w:hint="eastAsia" w:ascii="宋体" w:hAnsi="宋体"/>
                <w:kern w:val="0"/>
                <w:sz w:val="18"/>
                <w:szCs w:val="18"/>
              </w:rPr>
              <w:t>2.卓越人体工程学设计，重量轻，仅为76g （单道），显著减少手、手臂和肩膀用力，避免手部重复性劳损；</w:t>
            </w:r>
            <w:r>
              <w:rPr>
                <w:rFonts w:hint="eastAsia" w:ascii="宋体" w:hAnsi="宋体"/>
                <w:kern w:val="0"/>
                <w:sz w:val="18"/>
                <w:szCs w:val="18"/>
              </w:rPr>
              <w:br w:type="textWrapping"/>
            </w:r>
            <w:r>
              <w:rPr>
                <w:rFonts w:hint="eastAsia" w:ascii="宋体" w:hAnsi="宋体"/>
                <w:kern w:val="0"/>
                <w:sz w:val="18"/>
                <w:szCs w:val="18"/>
              </w:rPr>
              <w:t>3.四位数字放大体积显示，位置合理，便于移液时观察；</w:t>
            </w:r>
            <w:r>
              <w:rPr>
                <w:rFonts w:hint="eastAsia" w:ascii="宋体" w:hAnsi="宋体"/>
                <w:kern w:val="0"/>
                <w:sz w:val="18"/>
                <w:szCs w:val="18"/>
              </w:rPr>
              <w:br w:type="textWrapping"/>
            </w:r>
            <w:r>
              <w:rPr>
                <w:rFonts w:hint="eastAsia" w:ascii="宋体" w:hAnsi="宋体"/>
                <w:kern w:val="0"/>
                <w:sz w:val="18"/>
                <w:szCs w:val="18"/>
              </w:rPr>
              <w:t>4.伸缩式弹性吸嘴设计，确保吸头装配的气密性和移液均一性；</w:t>
            </w:r>
            <w:r>
              <w:rPr>
                <w:rFonts w:hint="eastAsia" w:ascii="宋体" w:hAnsi="宋体"/>
                <w:kern w:val="0"/>
                <w:sz w:val="18"/>
                <w:szCs w:val="18"/>
              </w:rPr>
              <w:br w:type="textWrapping"/>
            </w:r>
            <w:r>
              <w:rPr>
                <w:rFonts w:hint="eastAsia" w:ascii="宋体" w:hAnsi="宋体"/>
                <w:kern w:val="0"/>
                <w:sz w:val="18"/>
                <w:szCs w:val="18"/>
              </w:rPr>
              <w:t>5.适用不同密度液体，具备密度调节功能；</w:t>
            </w:r>
            <w:r>
              <w:rPr>
                <w:rFonts w:hint="eastAsia" w:ascii="宋体" w:hAnsi="宋体"/>
                <w:kern w:val="0"/>
                <w:sz w:val="18"/>
                <w:szCs w:val="18"/>
              </w:rPr>
              <w:br w:type="textWrapping"/>
            </w:r>
            <w:r>
              <w:rPr>
                <w:rFonts w:hint="eastAsia" w:ascii="宋体" w:hAnsi="宋体"/>
                <w:kern w:val="0"/>
                <w:sz w:val="18"/>
                <w:szCs w:val="18"/>
              </w:rPr>
              <w:t>6.量程：0.5-10ul，10-100ul，100-1000ul各一只；含吸头</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大龙、艾本德、百得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移液器架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jc w:val="left"/>
              <w:rPr>
                <w:rFonts w:ascii="宋体" w:hAnsi="宋体"/>
                <w:kern w:val="0"/>
                <w:sz w:val="18"/>
                <w:szCs w:val="18"/>
              </w:rPr>
            </w:pPr>
            <w:r>
              <w:rPr>
                <w:rFonts w:hint="eastAsia" w:ascii="宋体" w:hAnsi="宋体"/>
                <w:kern w:val="0"/>
                <w:sz w:val="18"/>
                <w:szCs w:val="18"/>
              </w:rPr>
              <w:t>平板式，亚克力材料，5个位置（透明）</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大龙、艾本德、百得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实验耗材包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1.5mL离心管(500只/包)，1包；0.5mL离心管(1000只/包)，1包；四种吸头(5000μL，300只/包；1000μL，500只/包；100μL，1000只/包；10μL，1000只/包)，各2包；三种吸头盒(1000μL，100μL，10μL)，各12个；封口膜(含透气片，12*12cm，500张/包)，2包；；两面板(60孔)，12个；20cm不锈钢枪型镊，10个；接种环，30支；涂布器，30个，不锈钢剪刀：10,一次性培养皿90mm（塑料）300个</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多功能生态养殖箱</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用于在栽植植物的同时养殖多种小型动物，创造动物所需的自然舒适环境，便于观察动物接近自然状况下的日常行为，对观察和记录动物自身的生长繁殖以及与同环境中其他动物、植物之间的互作关系提供帮助。</w:t>
            </w:r>
            <w:r>
              <w:rPr>
                <w:rFonts w:hint="eastAsia" w:ascii="宋体" w:hAnsi="宋体"/>
                <w:kern w:val="0"/>
                <w:sz w:val="18"/>
                <w:szCs w:val="18"/>
              </w:rPr>
              <w:br w:type="textWrapping"/>
            </w:r>
            <w:r>
              <w:rPr>
                <w:rFonts w:hint="eastAsia" w:ascii="宋体" w:hAnsi="宋体"/>
                <w:kern w:val="0"/>
                <w:sz w:val="18"/>
                <w:szCs w:val="18"/>
              </w:rPr>
              <w:t>1、适用性强：该仪器的设计充分满足了小型动物及植物生长所需的条件，可实现多种植物的栽培及多种小型动物的生长繁殖。</w:t>
            </w:r>
            <w:r>
              <w:rPr>
                <w:rFonts w:hint="eastAsia" w:ascii="宋体" w:hAnsi="宋体"/>
                <w:kern w:val="0"/>
                <w:sz w:val="18"/>
                <w:szCs w:val="18"/>
              </w:rPr>
              <w:br w:type="textWrapping"/>
            </w:r>
            <w:r>
              <w:rPr>
                <w:rFonts w:hint="eastAsia" w:ascii="宋体" w:hAnsi="宋体"/>
                <w:kern w:val="0"/>
                <w:sz w:val="18"/>
                <w:szCs w:val="18"/>
              </w:rPr>
              <w:t>2、直观性：仪器外观大方简洁，体积小，既能满足试验需求又便于观察操作。</w:t>
            </w:r>
            <w:r>
              <w:rPr>
                <w:rFonts w:hint="eastAsia" w:ascii="宋体" w:hAnsi="宋体"/>
                <w:kern w:val="0"/>
                <w:sz w:val="18"/>
                <w:szCs w:val="18"/>
              </w:rPr>
              <w:br w:type="textWrapping"/>
            </w:r>
            <w:r>
              <w:rPr>
                <w:rFonts w:hint="eastAsia" w:ascii="宋体" w:hAnsi="宋体"/>
                <w:kern w:val="0"/>
                <w:sz w:val="18"/>
                <w:szCs w:val="18"/>
              </w:rPr>
              <w:t>3、易操作性：食物和水的补充等操作均简单易实现。</w:t>
            </w:r>
            <w:r>
              <w:rPr>
                <w:rFonts w:hint="eastAsia" w:ascii="宋体" w:hAnsi="宋体"/>
                <w:kern w:val="0"/>
                <w:sz w:val="18"/>
                <w:szCs w:val="18"/>
              </w:rPr>
              <w:br w:type="textWrapping"/>
            </w:r>
            <w:r>
              <w:rPr>
                <w:rFonts w:hint="eastAsia" w:ascii="宋体" w:hAnsi="宋体"/>
                <w:kern w:val="0"/>
                <w:sz w:val="18"/>
                <w:szCs w:val="18"/>
              </w:rPr>
              <w:t>4、省时省力：一次布置即可实现较长时间无需人为管理。</w:t>
            </w:r>
            <w:r>
              <w:rPr>
                <w:rFonts w:hint="eastAsia" w:ascii="宋体" w:hAnsi="宋体"/>
                <w:kern w:val="0"/>
                <w:sz w:val="18"/>
                <w:szCs w:val="18"/>
              </w:rPr>
              <w:br w:type="textWrapping"/>
            </w:r>
            <w:r>
              <w:rPr>
                <w:rFonts w:hint="eastAsia" w:ascii="宋体" w:hAnsi="宋体"/>
                <w:kern w:val="0"/>
                <w:sz w:val="18"/>
                <w:szCs w:val="18"/>
              </w:rPr>
              <w:t>5、采用AS塑料，材质透明度高，无毒，不受高湿度环境影响，能耐一般性油脂、去污剂和低浓度酒精。</w:t>
            </w:r>
            <w:r>
              <w:rPr>
                <w:rFonts w:hint="eastAsia" w:ascii="宋体" w:hAnsi="宋体"/>
                <w:kern w:val="0"/>
                <w:sz w:val="18"/>
                <w:szCs w:val="18"/>
              </w:rPr>
              <w:br w:type="textWrapping"/>
            </w:r>
            <w:r>
              <w:rPr>
                <w:rFonts w:hint="eastAsia" w:ascii="宋体" w:hAnsi="宋体"/>
                <w:kern w:val="0"/>
                <w:sz w:val="18"/>
                <w:szCs w:val="18"/>
              </w:rPr>
              <w:t>6、ABS工程塑料，不透明，外观呈浅象牙色，无毒、无味，具有优良的综合性能，兼有韧、硬、刚的特性，有极好的冲击强度，尺寸稳定性好，耐磨。</w:t>
            </w:r>
            <w:r>
              <w:rPr>
                <w:rFonts w:hint="eastAsia" w:ascii="宋体" w:hAnsi="宋体"/>
                <w:kern w:val="0"/>
                <w:sz w:val="18"/>
                <w:szCs w:val="18"/>
              </w:rPr>
              <w:br w:type="textWrapping"/>
            </w:r>
            <w:r>
              <w:rPr>
                <w:rFonts w:hint="eastAsia" w:ascii="宋体" w:hAnsi="宋体"/>
                <w:kern w:val="0"/>
                <w:sz w:val="18"/>
                <w:szCs w:val="18"/>
              </w:rPr>
              <w:t>7、创意教学，师生畅想DIY</w:t>
            </w:r>
            <w:r>
              <w:rPr>
                <w:rFonts w:hint="eastAsia" w:ascii="宋体" w:hAnsi="宋体"/>
                <w:kern w:val="0"/>
                <w:sz w:val="18"/>
                <w:szCs w:val="18"/>
              </w:rPr>
              <w:br w:type="textWrapping"/>
            </w:r>
            <w:r>
              <w:rPr>
                <w:rFonts w:hint="eastAsia" w:ascii="宋体" w:hAnsi="宋体"/>
                <w:kern w:val="0"/>
                <w:sz w:val="18"/>
                <w:szCs w:val="18"/>
              </w:rPr>
              <w:t>8、产品主体尺寸：240x170x400(mm)产品主体重量：1.5kg</w:t>
            </w:r>
            <w:r>
              <w:rPr>
                <w:rFonts w:hint="eastAsia" w:ascii="宋体" w:hAnsi="宋体"/>
                <w:kern w:val="0"/>
                <w:sz w:val="18"/>
                <w:szCs w:val="18"/>
              </w:rPr>
              <w:br w:type="textWrapping"/>
            </w:r>
            <w:r>
              <w:rPr>
                <w:rFonts w:hint="eastAsia" w:ascii="宋体" w:hAnsi="宋体"/>
                <w:kern w:val="0"/>
                <w:sz w:val="18"/>
                <w:szCs w:val="18"/>
              </w:rPr>
              <w:t>9、●左右通风窗，通风面积可调，范围0-38cm2；顶透气窗，透气面积可调，范围0-50cm2；304不锈钢防虫网，60目；</w:t>
            </w:r>
            <w:r>
              <w:rPr>
                <w:rFonts w:hint="eastAsia" w:ascii="宋体" w:hAnsi="宋体"/>
                <w:kern w:val="0"/>
                <w:sz w:val="18"/>
                <w:szCs w:val="18"/>
              </w:rPr>
              <w:br w:type="textWrapping"/>
            </w:r>
            <w:r>
              <w:rPr>
                <w:rFonts w:hint="eastAsia" w:ascii="宋体" w:hAnsi="宋体"/>
                <w:kern w:val="0"/>
                <w:sz w:val="18"/>
                <w:szCs w:val="18"/>
              </w:rPr>
              <w:t>10、滑动式隐蔽加水装置，带注水管，管长270mm</w:t>
            </w:r>
            <w:r>
              <w:rPr>
                <w:rFonts w:hint="eastAsia" w:ascii="宋体" w:hAnsi="宋体"/>
                <w:kern w:val="0"/>
                <w:sz w:val="18"/>
                <w:szCs w:val="18"/>
              </w:rPr>
              <w:br w:type="textWrapping"/>
            </w:r>
            <w:r>
              <w:rPr>
                <w:rFonts w:hint="eastAsia" w:ascii="宋体" w:hAnsi="宋体"/>
                <w:kern w:val="0"/>
                <w:sz w:val="18"/>
                <w:szCs w:val="18"/>
              </w:rPr>
              <w:t>11、USB供电植物生长光源：功率：0.2W  电压：5V</w:t>
            </w:r>
            <w:r>
              <w:rPr>
                <w:rFonts w:hint="eastAsia" w:ascii="宋体" w:hAnsi="宋体"/>
                <w:kern w:val="0"/>
                <w:sz w:val="18"/>
                <w:szCs w:val="18"/>
              </w:rPr>
              <w:br w:type="textWrapping"/>
            </w:r>
            <w:r>
              <w:rPr>
                <w:rFonts w:hint="eastAsia" w:ascii="宋体" w:hAnsi="宋体"/>
                <w:kern w:val="0"/>
                <w:sz w:val="18"/>
                <w:szCs w:val="18"/>
              </w:rPr>
              <w:t>12、内置温湿度计，实时显示箱体内温、湿度情况； 可拆装式温湿度计便携支架</w:t>
            </w:r>
            <w:r>
              <w:rPr>
                <w:rFonts w:hint="eastAsia" w:ascii="宋体" w:hAnsi="宋体"/>
                <w:kern w:val="0"/>
                <w:sz w:val="18"/>
                <w:szCs w:val="18"/>
              </w:rPr>
              <w:br w:type="textWrapping"/>
            </w:r>
            <w:r>
              <w:rPr>
                <w:rFonts w:hint="eastAsia" w:ascii="宋体" w:hAnsi="宋体"/>
                <w:kern w:val="0"/>
                <w:sz w:val="18"/>
                <w:szCs w:val="18"/>
              </w:rPr>
              <w:t>13、底部可封闭排水装置</w:t>
            </w:r>
            <w:r>
              <w:rPr>
                <w:rFonts w:hint="eastAsia" w:ascii="宋体" w:hAnsi="宋体"/>
                <w:kern w:val="0"/>
                <w:sz w:val="18"/>
                <w:szCs w:val="18"/>
              </w:rPr>
              <w:br w:type="textWrapping"/>
            </w:r>
            <w:r>
              <w:rPr>
                <w:rFonts w:hint="eastAsia" w:ascii="宋体" w:hAnsi="宋体"/>
                <w:kern w:val="0"/>
                <w:sz w:val="18"/>
                <w:szCs w:val="18"/>
              </w:rPr>
              <w:t>14、多功能外接口：4个</w:t>
            </w:r>
            <w:r>
              <w:rPr>
                <w:rFonts w:hint="eastAsia" w:ascii="宋体" w:hAnsi="宋体"/>
                <w:kern w:val="0"/>
                <w:sz w:val="18"/>
                <w:szCs w:val="18"/>
              </w:rPr>
              <w:br w:type="textWrapping"/>
            </w:r>
            <w:r>
              <w:rPr>
                <w:rFonts w:hint="eastAsia" w:ascii="宋体" w:hAnsi="宋体"/>
                <w:kern w:val="0"/>
                <w:sz w:val="18"/>
                <w:szCs w:val="18"/>
              </w:rPr>
              <w:t>15、多用硅胶转接环：Φ22mm 2个；Φ46mm 2个</w:t>
            </w:r>
            <w:r>
              <w:rPr>
                <w:rFonts w:hint="eastAsia" w:ascii="宋体" w:hAnsi="宋体"/>
                <w:kern w:val="0"/>
                <w:sz w:val="18"/>
                <w:szCs w:val="18"/>
              </w:rPr>
              <w:br w:type="textWrapping"/>
            </w:r>
            <w:r>
              <w:rPr>
                <w:rFonts w:hint="eastAsia" w:ascii="宋体" w:hAnsi="宋体"/>
                <w:kern w:val="0"/>
                <w:sz w:val="18"/>
                <w:szCs w:val="18"/>
              </w:rPr>
              <w:t>16、卫生硅胶密闭盖：Φ23mm 2个；Φ47mm 2个</w:t>
            </w:r>
            <w:r>
              <w:rPr>
                <w:rFonts w:hint="eastAsia" w:ascii="宋体" w:hAnsi="宋体"/>
                <w:kern w:val="0"/>
                <w:sz w:val="18"/>
                <w:szCs w:val="18"/>
              </w:rPr>
              <w:br w:type="textWrapping"/>
            </w:r>
            <w:r>
              <w:rPr>
                <w:rFonts w:hint="eastAsia" w:ascii="宋体" w:hAnsi="宋体"/>
                <w:kern w:val="0"/>
                <w:sz w:val="18"/>
                <w:szCs w:val="18"/>
              </w:rPr>
              <w:t>17、可选附件：100ml多功能食物供给装置 2套；100ml昆虫发生器 2套；</w:t>
            </w:r>
          </w:p>
          <w:p>
            <w:pPr>
              <w:widowControl/>
              <w:jc w:val="left"/>
              <w:rPr>
                <w:rFonts w:ascii="宋体" w:hAnsi="宋体"/>
                <w:kern w:val="0"/>
                <w:sz w:val="18"/>
                <w:szCs w:val="18"/>
              </w:rPr>
            </w:pPr>
            <w:r>
              <w:rPr>
                <w:rFonts w:hint="eastAsia" w:ascii="宋体" w:hAnsi="宋体"/>
                <w:kern w:val="0"/>
                <w:sz w:val="18"/>
                <w:szCs w:val="18"/>
              </w:rPr>
              <w:t>提供原厂授权书及原厂售后服务承诺函原件（合同签订前）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新苗、川布兰、一恒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台式数控超声波清洗器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1.仪器尺寸:W320×D264×H320mm,清洗槽内尺寸W300×D240×H150mm；</w:t>
            </w:r>
            <w:r>
              <w:rPr>
                <w:rFonts w:hint="eastAsia" w:ascii="宋体" w:hAnsi="宋体"/>
                <w:kern w:val="0"/>
                <w:sz w:val="18"/>
                <w:szCs w:val="18"/>
              </w:rPr>
              <w:br w:type="textWrapping"/>
            </w:r>
            <w:r>
              <w:rPr>
                <w:rFonts w:hint="eastAsia" w:ascii="宋体" w:hAnsi="宋体"/>
                <w:kern w:val="0"/>
                <w:sz w:val="18"/>
                <w:szCs w:val="18"/>
              </w:rPr>
              <w:t>2.容量10L；</w:t>
            </w:r>
            <w:r>
              <w:rPr>
                <w:rFonts w:hint="eastAsia" w:ascii="宋体" w:hAnsi="宋体"/>
                <w:kern w:val="0"/>
                <w:sz w:val="18"/>
                <w:szCs w:val="18"/>
              </w:rPr>
              <w:br w:type="textWrapping"/>
            </w:r>
            <w:r>
              <w:rPr>
                <w:rFonts w:hint="eastAsia" w:ascii="宋体" w:hAnsi="宋体"/>
                <w:kern w:val="0"/>
                <w:sz w:val="18"/>
                <w:szCs w:val="18"/>
              </w:rPr>
              <w:t>3.超声功率40KHz可调，可选20KHz、25KHz、28KHz、33KHz、40KHz任意频率；</w:t>
            </w:r>
            <w:r>
              <w:rPr>
                <w:rFonts w:hint="eastAsia" w:ascii="宋体" w:hAnsi="宋体"/>
                <w:kern w:val="0"/>
                <w:sz w:val="18"/>
                <w:szCs w:val="18"/>
              </w:rPr>
              <w:br w:type="textWrapping"/>
            </w:r>
            <w:r>
              <w:rPr>
                <w:rFonts w:hint="eastAsia" w:ascii="宋体" w:hAnsi="宋体"/>
                <w:kern w:val="0"/>
                <w:sz w:val="18"/>
                <w:szCs w:val="18"/>
              </w:rPr>
              <w:t>4.超声功率250W，功率40%-100%可调；</w:t>
            </w:r>
            <w:r>
              <w:rPr>
                <w:rFonts w:hint="eastAsia" w:ascii="宋体" w:hAnsi="宋体"/>
                <w:kern w:val="0"/>
                <w:sz w:val="18"/>
                <w:szCs w:val="18"/>
              </w:rPr>
              <w:br w:type="textWrapping"/>
            </w:r>
            <w:r>
              <w:rPr>
                <w:rFonts w:hint="eastAsia" w:ascii="宋体" w:hAnsi="宋体"/>
                <w:kern w:val="0"/>
                <w:sz w:val="18"/>
                <w:szCs w:val="18"/>
              </w:rPr>
              <w:t>5.加热功率600W，温度20℃-80℃可调；</w:t>
            </w:r>
            <w:r>
              <w:rPr>
                <w:rFonts w:hint="eastAsia" w:ascii="宋体" w:hAnsi="宋体"/>
                <w:kern w:val="0"/>
                <w:sz w:val="18"/>
                <w:szCs w:val="18"/>
              </w:rPr>
              <w:br w:type="textWrapping"/>
            </w:r>
            <w:r>
              <w:rPr>
                <w:rFonts w:hint="eastAsia" w:ascii="宋体" w:hAnsi="宋体"/>
                <w:kern w:val="0"/>
                <w:sz w:val="18"/>
                <w:szCs w:val="18"/>
              </w:rPr>
              <w:t>6.超声时间1-480min可调，累计可达999999h；</w:t>
            </w:r>
            <w:r>
              <w:rPr>
                <w:rFonts w:hint="eastAsia" w:ascii="宋体" w:hAnsi="宋体"/>
                <w:kern w:val="0"/>
                <w:sz w:val="18"/>
                <w:szCs w:val="18"/>
              </w:rPr>
              <w:br w:type="textWrapping"/>
            </w:r>
            <w:r>
              <w:rPr>
                <w:rFonts w:hint="eastAsia" w:ascii="宋体" w:hAnsi="宋体"/>
                <w:kern w:val="0"/>
                <w:sz w:val="18"/>
                <w:szCs w:val="18"/>
              </w:rPr>
              <w:t>7.网架采用不锈钢网筛氩弧焊成形，可控排水阀；</w:t>
            </w:r>
            <w:r>
              <w:rPr>
                <w:rFonts w:hint="eastAsia" w:ascii="宋体" w:hAnsi="宋体"/>
                <w:kern w:val="0"/>
                <w:sz w:val="18"/>
                <w:szCs w:val="18"/>
              </w:rPr>
              <w:br w:type="textWrapping"/>
            </w:r>
            <w:r>
              <w:rPr>
                <w:rFonts w:hint="eastAsia" w:ascii="宋体" w:hAnsi="宋体"/>
                <w:kern w:val="0"/>
                <w:sz w:val="18"/>
                <w:szCs w:val="18"/>
              </w:rPr>
              <w:t>8.内槽采用优质304不锈钢冲压成型；</w:t>
            </w:r>
            <w:r>
              <w:rPr>
                <w:rFonts w:hint="eastAsia" w:ascii="宋体" w:hAnsi="宋体"/>
                <w:kern w:val="0"/>
                <w:sz w:val="18"/>
                <w:szCs w:val="18"/>
              </w:rPr>
              <w:br w:type="textWrapping"/>
            </w:r>
            <w:r>
              <w:rPr>
                <w:rFonts w:hint="eastAsia" w:ascii="宋体" w:hAnsi="宋体"/>
                <w:kern w:val="0"/>
                <w:sz w:val="18"/>
                <w:szCs w:val="18"/>
              </w:rPr>
              <w:t>9.数字显示、记忆和设定超声工作时间、超声功率、进水液位和容器内的加热温度，数字显示容器内的实际液位和容器内的实际温度。</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禾创、舒美、精科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台式高速离心机</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 微电脑控制、触摸面板、数字显示、无刷电机、自动电锁功能，不锈钢内腔，自动计算RCF。</w:t>
            </w:r>
            <w:r>
              <w:rPr>
                <w:rFonts w:hint="eastAsia" w:ascii="宋体" w:hAnsi="宋体"/>
                <w:kern w:val="0"/>
                <w:sz w:val="18"/>
                <w:szCs w:val="18"/>
              </w:rPr>
              <w:br w:type="textWrapping"/>
            </w:r>
            <w:r>
              <w:rPr>
                <w:rFonts w:hint="eastAsia" w:ascii="宋体" w:hAnsi="宋体"/>
                <w:kern w:val="0"/>
                <w:sz w:val="18"/>
                <w:szCs w:val="18"/>
              </w:rPr>
              <w:t>2. 最高转速：16000r/min（选配不同转子最高可达16500r/min），转速精度±30r/min</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安亭、川布兰、京立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b/>
                <w:bCs/>
                <w:kern w:val="0"/>
                <w:sz w:val="18"/>
                <w:szCs w:val="18"/>
              </w:rPr>
            </w:pPr>
            <w:r>
              <w:rPr>
                <w:rFonts w:hint="eastAsia" w:ascii="宋体" w:hAnsi="宋体"/>
                <w:b/>
                <w:bCs/>
                <w:kern w:val="0"/>
                <w:sz w:val="18"/>
                <w:szCs w:val="18"/>
              </w:rPr>
              <w:t>小型无土栽培系统(投标时需提供样品及演示)</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1.LED灯照明，全自动控制，侧面开窗，透明有机玻璃，便于培养观察。</w:t>
            </w:r>
            <w:r>
              <w:rPr>
                <w:rFonts w:hint="eastAsia" w:ascii="宋体" w:hAnsi="宋体"/>
                <w:kern w:val="0"/>
                <w:sz w:val="18"/>
                <w:szCs w:val="18"/>
              </w:rPr>
              <w:br w:type="textWrapping"/>
            </w:r>
            <w:r>
              <w:rPr>
                <w:rFonts w:hint="eastAsia" w:ascii="宋体" w:hAnsi="宋体"/>
                <w:kern w:val="0"/>
                <w:sz w:val="18"/>
                <w:szCs w:val="18"/>
              </w:rPr>
              <w:t>2.内置栽培箱可取出栽培，同时配置活动苗床板，方便种植和清洗。</w:t>
            </w:r>
            <w:r>
              <w:rPr>
                <w:rFonts w:hint="eastAsia" w:ascii="宋体" w:hAnsi="宋体"/>
                <w:kern w:val="0"/>
                <w:sz w:val="18"/>
                <w:szCs w:val="18"/>
              </w:rPr>
              <w:br w:type="textWrapping"/>
            </w:r>
            <w:r>
              <w:rPr>
                <w:rFonts w:hint="eastAsia" w:ascii="宋体" w:hAnsi="宋体"/>
                <w:kern w:val="0"/>
                <w:sz w:val="18"/>
                <w:szCs w:val="18"/>
              </w:rPr>
              <w:t>3.可设定照明时间（6-22小时任意设置），未设定时，LED灯照明24小时，设有3种植模式（普通种植模式、发芽模式、花模式），发芽模式和花模式指示灯为橙色，普通种植模式绿色。</w:t>
            </w:r>
            <w:r>
              <w:rPr>
                <w:rFonts w:hint="eastAsia" w:ascii="宋体" w:hAnsi="宋体"/>
                <w:kern w:val="0"/>
                <w:sz w:val="18"/>
                <w:szCs w:val="18"/>
              </w:rPr>
              <w:br w:type="textWrapping"/>
            </w:r>
            <w:r>
              <w:rPr>
                <w:rFonts w:hint="eastAsia" w:ascii="宋体" w:hAnsi="宋体"/>
                <w:kern w:val="0"/>
                <w:sz w:val="18"/>
                <w:szCs w:val="18"/>
              </w:rPr>
              <w:t>4.配有育苗床、营养液培养方式，营养液槽配置有微型通气棒，气泵间歇运作，侧面配置有风扇（降温通气），营养液≥3.5L，栽培植物株数≥24棵，功率≤100W，具有水位浮标，可实时指示营养液水位。</w:t>
            </w:r>
            <w:r>
              <w:rPr>
                <w:rFonts w:hint="eastAsia" w:ascii="宋体" w:hAnsi="宋体"/>
                <w:kern w:val="0"/>
                <w:sz w:val="18"/>
                <w:szCs w:val="18"/>
              </w:rPr>
              <w:br w:type="textWrapping"/>
            </w:r>
            <w:r>
              <w:rPr>
                <w:rFonts w:hint="eastAsia" w:ascii="宋体" w:hAnsi="宋体"/>
                <w:kern w:val="0"/>
                <w:sz w:val="18"/>
                <w:szCs w:val="18"/>
              </w:rPr>
              <w:t>5.产品要求侧面配置有风扇可以降温，营养液槽苗床下有微型通气棒可换气。</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鼎昊源、翰思、京工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试剂盒1</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1.果酒果醋制作试剂盒 2.腐乳的制作试剂盒 3.亚硝酸盐的测定试剂盒 4.微生物的实验培养试剂盒 5.土壤中分解尿素的细菌的分离和计数试剂盒 6.分解纤维素的微生物的分离试剂盒 7.果胶酶在果汁生产中的作用试剂盒 8.酵母细胞的固定化试剂盒 9.DNA的粗提取和鉴定试剂盒 10.多聚酶链式反应扩增DNA片段试剂盒（PCR试剂盒）11.多酚氧化酶同工酶的分离试剂盒（蛋白质电泳）12.质粒提取试剂盒 13.琼脂糖凝胶电泳试剂盒。均为25组/班的用量</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试剂盒2</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大肠杆菌的培养与分离试剂盒；分离以尿素为氮源的微生物的培养；果汁中的果胶与果胶酶试剂盒；a-淀粉酶的固定化与淀粉水解作用的检测；果酒及果醋制作试剂盒；亚硝酸盐定量测定试剂盒；各一个。植物组织培养试剂盒四个。试剂盒均为25组/班的用量。</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组培瓶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150mL，可高温灭菌，无需透气膜</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200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组培接种服</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白色加厚涤棉纱卡</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无菌苗</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烟草、菊花、矮牵牛、百合各10瓶</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光照培养架及控时器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▲1、</w:t>
            </w:r>
            <w:r>
              <w:rPr>
                <w:rFonts w:hint="eastAsia" w:ascii="宋体" w:hAnsi="宋体"/>
                <w:sz w:val="18"/>
                <w:szCs w:val="18"/>
              </w:rPr>
              <w:t>提供</w:t>
            </w:r>
            <w:r>
              <w:rPr>
                <w:rFonts w:hint="eastAsia" w:ascii="宋体" w:hAnsi="宋体"/>
                <w:sz w:val="18"/>
                <w:szCs w:val="18"/>
                <w:lang w:val="en-US" w:eastAsia="zh-CN"/>
              </w:rPr>
              <w:t>检测机构</w:t>
            </w:r>
            <w:r>
              <w:rPr>
                <w:rFonts w:hint="eastAsia" w:ascii="宋体" w:hAnsi="宋体"/>
                <w:sz w:val="18"/>
                <w:szCs w:val="18"/>
              </w:rPr>
              <w:t>出具的检测报告</w:t>
            </w:r>
            <w:r>
              <w:rPr>
                <w:rFonts w:hint="eastAsia" w:ascii="宋体" w:hAnsi="宋体"/>
                <w:sz w:val="18"/>
                <w:szCs w:val="18"/>
                <w:lang w:eastAsia="zh-CN"/>
              </w:rPr>
              <w:t>，</w:t>
            </w:r>
            <w:r>
              <w:rPr>
                <w:rFonts w:hint="eastAsia" w:ascii="宋体" w:hAnsi="宋体"/>
                <w:sz w:val="18"/>
                <w:szCs w:val="18"/>
                <w:lang w:val="en-US" w:eastAsia="zh-CN"/>
              </w:rPr>
              <w:t>复印件加盖投标单位公章，原件须现场核查后有效。</w:t>
            </w:r>
            <w:r>
              <w:rPr>
                <w:rFonts w:hint="eastAsia" w:ascii="宋体" w:hAnsi="宋体"/>
                <w:sz w:val="18"/>
                <w:szCs w:val="18"/>
                <w:lang w:val="en-US" w:eastAsia="zh-CN"/>
              </w:rPr>
              <w:br w:type="textWrapping"/>
            </w:r>
            <w:r>
              <w:rPr>
                <w:rFonts w:hint="eastAsia" w:ascii="宋体" w:hAnsi="宋体"/>
                <w:kern w:val="0"/>
                <w:sz w:val="18"/>
                <w:szCs w:val="18"/>
              </w:rPr>
              <w:t>2、尺寸：高180cm，实用四层，每层实用面积135cm×40cm</w:t>
            </w:r>
            <w:r>
              <w:rPr>
                <w:rFonts w:hint="eastAsia" w:ascii="宋体" w:hAnsi="宋体"/>
                <w:kern w:val="0"/>
                <w:sz w:val="18"/>
                <w:szCs w:val="18"/>
              </w:rPr>
              <w:br w:type="textWrapping"/>
            </w:r>
            <w:r>
              <w:rPr>
                <w:rFonts w:hint="eastAsia" w:ascii="宋体" w:hAnsi="宋体"/>
                <w:kern w:val="0"/>
                <w:sz w:val="18"/>
                <w:szCs w:val="18"/>
              </w:rPr>
              <w:t>3、每层配三根高效三基色自然光灯管，每根灯管独立开关。</w:t>
            </w:r>
            <w:r>
              <w:rPr>
                <w:rFonts w:hint="eastAsia" w:ascii="宋体" w:hAnsi="宋体"/>
                <w:kern w:val="0"/>
                <w:sz w:val="18"/>
                <w:szCs w:val="18"/>
              </w:rPr>
              <w:br w:type="textWrapping"/>
            </w:r>
            <w:r>
              <w:rPr>
                <w:rFonts w:hint="eastAsia" w:ascii="宋体" w:hAnsi="宋体"/>
                <w:kern w:val="0"/>
                <w:sz w:val="18"/>
                <w:szCs w:val="18"/>
              </w:rPr>
              <w:t xml:space="preserve">4、电源：220v 50Hz 最大功率360W。 </w:t>
            </w:r>
            <w:r>
              <w:rPr>
                <w:rFonts w:hint="eastAsia" w:ascii="宋体" w:hAnsi="宋体"/>
                <w:kern w:val="0"/>
                <w:sz w:val="18"/>
                <w:szCs w:val="18"/>
              </w:rPr>
              <w:br w:type="textWrapping"/>
            </w:r>
            <w:r>
              <w:rPr>
                <w:rFonts w:hint="eastAsia" w:ascii="宋体" w:hAnsi="宋体"/>
                <w:kern w:val="0"/>
                <w:sz w:val="18"/>
                <w:szCs w:val="18"/>
              </w:rPr>
              <w:t>5、●控时器参数：即时工作指示灯；铜片结构优化设计,寿品更长；夏令时/冬令时功能；大屏幕液晶显示设定；最小时间间隔为1分钟,每天最多可设置20组开与关,每周可设置140组。</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艾研、川布兰、江南仪器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微波炉</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底部密集散热孔，炉门铰链设计</w:t>
            </w:r>
            <w:r>
              <w:rPr>
                <w:rFonts w:hint="eastAsia" w:ascii="宋体" w:hAnsi="宋体"/>
                <w:kern w:val="0"/>
                <w:sz w:val="18"/>
                <w:szCs w:val="18"/>
              </w:rPr>
              <w:br w:type="textWrapping"/>
            </w:r>
            <w:r>
              <w:rPr>
                <w:rFonts w:hint="eastAsia" w:ascii="宋体" w:hAnsi="宋体"/>
                <w:kern w:val="0"/>
                <w:sz w:val="18"/>
                <w:szCs w:val="18"/>
              </w:rPr>
              <w:t>3重防护，安全放心：硅胶保护层、金属网屏蔽层、钢化玻璃屏蔽层</w:t>
            </w:r>
            <w:r>
              <w:rPr>
                <w:rFonts w:hint="eastAsia" w:ascii="宋体" w:hAnsi="宋体"/>
                <w:kern w:val="0"/>
                <w:sz w:val="18"/>
                <w:szCs w:val="18"/>
              </w:rPr>
              <w:br w:type="textWrapping"/>
            </w:r>
            <w:r>
              <w:rPr>
                <w:rFonts w:hint="eastAsia" w:ascii="宋体" w:hAnsi="宋体"/>
                <w:kern w:val="0"/>
                <w:sz w:val="18"/>
                <w:szCs w:val="18"/>
              </w:rPr>
              <w:t>6档火力调节：解冻、低火、中低火、中火、中高火、高火</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美的、格兰仕、海尔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电磁炉</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线圈盘：叠式聚能</w:t>
            </w:r>
            <w:r>
              <w:rPr>
                <w:rFonts w:hint="eastAsia" w:ascii="宋体" w:hAnsi="宋体"/>
                <w:kern w:val="0"/>
                <w:sz w:val="18"/>
                <w:szCs w:val="18"/>
              </w:rPr>
              <w:br w:type="textWrapping"/>
            </w:r>
            <w:r>
              <w:rPr>
                <w:rFonts w:hint="eastAsia" w:ascii="宋体" w:hAnsi="宋体"/>
                <w:kern w:val="0"/>
                <w:sz w:val="18"/>
                <w:szCs w:val="18"/>
              </w:rPr>
              <w:t>文火慢炖，武火爆炒</w:t>
            </w:r>
            <w:r>
              <w:rPr>
                <w:rFonts w:hint="eastAsia" w:ascii="宋体" w:hAnsi="宋体"/>
                <w:kern w:val="0"/>
                <w:sz w:val="18"/>
                <w:szCs w:val="18"/>
              </w:rPr>
              <w:br w:type="textWrapping"/>
            </w:r>
            <w:r>
              <w:rPr>
                <w:rFonts w:hint="eastAsia" w:ascii="宋体" w:hAnsi="宋体"/>
                <w:kern w:val="0"/>
                <w:sz w:val="18"/>
                <w:szCs w:val="18"/>
              </w:rPr>
              <w:t>机芯安全稳定</w:t>
            </w:r>
            <w:r>
              <w:rPr>
                <w:rFonts w:hint="eastAsia" w:ascii="宋体" w:hAnsi="宋体"/>
                <w:kern w:val="0"/>
                <w:sz w:val="18"/>
                <w:szCs w:val="18"/>
              </w:rPr>
              <w:br w:type="textWrapping"/>
            </w:r>
            <w:r>
              <w:rPr>
                <w:rFonts w:hint="eastAsia" w:ascii="宋体" w:hAnsi="宋体"/>
                <w:kern w:val="0"/>
                <w:sz w:val="18"/>
                <w:szCs w:val="18"/>
              </w:rPr>
              <w:t>热断电系统</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美的、格兰仕、海尔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center"/>
          </w:tcPr>
          <w:p>
            <w:pPr>
              <w:widowControl/>
              <w:jc w:val="center"/>
              <w:rPr>
                <w:rFonts w:ascii="宋体" w:hAnsi="宋体"/>
                <w:b/>
                <w:bCs/>
                <w:kern w:val="0"/>
                <w:sz w:val="18"/>
                <w:szCs w:val="18"/>
              </w:rPr>
            </w:pPr>
            <w:r>
              <w:rPr>
                <w:rFonts w:hint="eastAsia" w:ascii="宋体" w:hAnsi="宋体"/>
                <w:b/>
                <w:bCs/>
                <w:kern w:val="0"/>
                <w:sz w:val="18"/>
                <w:szCs w:val="18"/>
              </w:rPr>
              <w:t>（二）实验室基础设备及多媒体</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边台1</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4000×600×800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采用实验室专用12.7mm实芯理化板精制而成，具有：耐强酸碱、耐腐蚀、耐磨、耐撞击、耐刮、耐高温、防水、防火、防静电等特点。结构：采用新型钢木结构、全钢框架，结构稳固、外形美观、经久耐用，台面颜色可选，满足生物实验室实验系统要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边台2</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3000×750×800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采用实验室专用12.7mm实芯理化板精制而成，具有：耐强酸碱、耐腐蚀、耐磨、耐撞击、耐刮、耐高温、防水、防火、防静电等特点。结构：采用新型钢木结构、全钢框架，结构稳固、外形美观、经久耐用，台面颜色可选，满足生物实验室实验系统要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b/>
                <w:bCs/>
                <w:kern w:val="0"/>
                <w:sz w:val="18"/>
                <w:szCs w:val="18"/>
              </w:rPr>
            </w:pPr>
            <w:r>
              <w:rPr>
                <w:rFonts w:hint="eastAsia" w:ascii="宋体" w:hAnsi="宋体"/>
                <w:b/>
                <w:bCs/>
                <w:kern w:val="0"/>
                <w:sz w:val="18"/>
                <w:szCs w:val="18"/>
              </w:rPr>
              <w:t>生物组培不间断实验台（投标时提供样品）</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1860-1960×860×800</w:t>
            </w:r>
          </w:p>
        </w:tc>
        <w:tc>
          <w:tcPr>
            <w:tcW w:w="4784" w:type="dxa"/>
            <w:vAlign w:val="bottom"/>
          </w:tcPr>
          <w:p>
            <w:pPr>
              <w:widowControl/>
              <w:numPr>
                <w:ilvl w:val="0"/>
                <w:numId w:val="9"/>
              </w:numPr>
              <w:jc w:val="left"/>
              <w:rPr>
                <w:rFonts w:hint="eastAsia" w:ascii="宋体" w:hAnsi="宋体"/>
                <w:sz w:val="18"/>
                <w:szCs w:val="18"/>
              </w:rPr>
            </w:pPr>
            <w:r>
              <w:rPr>
                <w:rFonts w:hint="eastAsia" w:ascii="宋体" w:hAnsi="宋体"/>
                <w:kern w:val="0"/>
                <w:sz w:val="18"/>
                <w:szCs w:val="18"/>
              </w:rPr>
              <w:t>台面尺寸：1760-1860*860*20/25mm；采用碟形实验室工业陶瓷板台面。采用高温一体烧制成型，总厚25mm、实验操作区域为20mm厚一体成型实验室工业陶瓷台面（不能采用拼接或者后期加厚方式加工），四周为翘边碟形，有效阻水外溢。</w:t>
            </w:r>
            <w:r>
              <w:rPr>
                <w:rFonts w:hint="eastAsia" w:ascii="宋体" w:hAnsi="宋体"/>
                <w:kern w:val="0"/>
                <w:sz w:val="18"/>
                <w:szCs w:val="18"/>
              </w:rPr>
              <w:br w:type="textWrapping"/>
            </w:r>
            <w:r>
              <w:rPr>
                <w:rFonts w:hint="eastAsia" w:ascii="宋体" w:hAnsi="宋体"/>
                <w:kern w:val="0"/>
                <w:sz w:val="18"/>
                <w:szCs w:val="18"/>
              </w:rPr>
              <w:t>2.柜体为全钢结构，可以单独或组合使用。所有底柜正面应为平装嵌入式结构设计，以避免勾住实验袍等造成意外。所有钣金的表面接缝均应满焊，焊接处均应打磨平整以保持为连续的平滑表面。柜体、门板、柜内层板、抽屉均采用裸板为1.2mm厚优质镀锌钢板（SPCCT）经CNC机压成形、焊接制作，表面经磷化处理、环氧树脂静电粉末涂装处理（涂装厚度为0.75mm。整体结构承重：台面承重不少于600kg不变形。柜门为双包结构，内附防噪填充。</w:t>
            </w:r>
            <w:r>
              <w:rPr>
                <w:rFonts w:hint="eastAsia" w:ascii="宋体" w:hAnsi="宋体"/>
                <w:kern w:val="0"/>
                <w:sz w:val="18"/>
                <w:szCs w:val="18"/>
              </w:rPr>
              <w:br w:type="textWrapping"/>
            </w:r>
            <w:r>
              <w:rPr>
                <w:rFonts w:hint="eastAsia" w:ascii="宋体" w:hAnsi="宋体"/>
                <w:kern w:val="0"/>
                <w:sz w:val="18"/>
                <w:szCs w:val="18"/>
              </w:rPr>
              <w:t>层板支撑扣采用1.0mm厚优质镀锌钢板制作。</w:t>
            </w:r>
            <w:r>
              <w:rPr>
                <w:rFonts w:hint="eastAsia" w:ascii="宋体" w:hAnsi="宋体"/>
                <w:kern w:val="0"/>
                <w:sz w:val="18"/>
                <w:szCs w:val="18"/>
              </w:rPr>
              <w:br w:type="textWrapping"/>
            </w:r>
            <w:r>
              <w:rPr>
                <w:rFonts w:hint="eastAsia" w:ascii="宋体" w:hAnsi="宋体"/>
                <w:kern w:val="0"/>
                <w:sz w:val="18"/>
                <w:szCs w:val="18"/>
              </w:rPr>
              <w:t>抽屉：为四面抽墙一体成型式设计并与抽头锁合，抽头为双层结构，内具隔音材质。</w:t>
            </w:r>
            <w:r>
              <w:rPr>
                <w:rFonts w:hint="eastAsia" w:ascii="宋体" w:hAnsi="宋体"/>
                <w:kern w:val="0"/>
                <w:sz w:val="18"/>
                <w:szCs w:val="18"/>
              </w:rPr>
              <w:br w:type="textWrapping"/>
            </w:r>
            <w:r>
              <w:rPr>
                <w:rFonts w:hint="eastAsia" w:ascii="宋体" w:hAnsi="宋体"/>
                <w:kern w:val="0"/>
                <w:sz w:val="18"/>
                <w:szCs w:val="18"/>
              </w:rPr>
              <w:t xml:space="preserve">拉手：铝合金G形暗拉手。                          </w:t>
            </w:r>
            <w:r>
              <w:rPr>
                <w:rFonts w:hint="eastAsia" w:ascii="宋体" w:hAnsi="宋体"/>
                <w:kern w:val="0"/>
                <w:sz w:val="18"/>
                <w:szCs w:val="18"/>
              </w:rPr>
              <w:br w:type="textWrapping"/>
            </w:r>
            <w:r>
              <w:rPr>
                <w:rFonts w:hint="eastAsia" w:ascii="宋体" w:hAnsi="宋体"/>
                <w:kern w:val="0"/>
                <w:sz w:val="18"/>
                <w:szCs w:val="18"/>
              </w:rPr>
              <w:t xml:space="preserve">铰链：采用2mmSUS304#不锈钢合页。                        </w:t>
            </w:r>
            <w:r>
              <w:rPr>
                <w:rFonts w:hint="eastAsia" w:ascii="宋体" w:hAnsi="宋体"/>
                <w:kern w:val="0"/>
                <w:sz w:val="18"/>
                <w:szCs w:val="18"/>
              </w:rPr>
              <w:br w:type="textWrapping"/>
            </w:r>
            <w:r>
              <w:rPr>
                <w:rFonts w:hint="eastAsia" w:ascii="宋体" w:hAnsi="宋体"/>
                <w:kern w:val="0"/>
                <w:sz w:val="18"/>
                <w:szCs w:val="18"/>
              </w:rPr>
              <w:t>可移动式设计，万向轮脚可根据实验需求移位摆放。</w:t>
            </w:r>
            <w:r>
              <w:rPr>
                <w:rFonts w:hint="eastAsia" w:ascii="宋体" w:hAnsi="宋体"/>
                <w:kern w:val="0"/>
                <w:sz w:val="18"/>
                <w:szCs w:val="18"/>
              </w:rPr>
              <w:br w:type="textWrapping"/>
            </w:r>
            <w:r>
              <w:rPr>
                <w:rFonts w:hint="eastAsia" w:ascii="宋体" w:hAnsi="宋体"/>
                <w:kern w:val="0"/>
                <w:sz w:val="18"/>
                <w:szCs w:val="18"/>
              </w:rPr>
              <w:t>投标时提供满足以下要求的检测报告：</w:t>
            </w:r>
            <w:r>
              <w:rPr>
                <w:rFonts w:hint="eastAsia" w:ascii="宋体" w:hAnsi="宋体"/>
                <w:kern w:val="0"/>
                <w:sz w:val="18"/>
                <w:szCs w:val="18"/>
              </w:rPr>
              <w:br w:type="textWrapping"/>
            </w:r>
            <w:r>
              <w:rPr>
                <w:rFonts w:hint="eastAsia" w:ascii="宋体" w:hAnsi="宋体"/>
                <w:sz w:val="18"/>
                <w:szCs w:val="18"/>
              </w:rPr>
              <w:t>▲1、陶瓷台面耐高温性能：提供由</w:t>
            </w:r>
            <w:r>
              <w:rPr>
                <w:rFonts w:hint="eastAsia" w:ascii="宋体" w:hAnsi="宋体"/>
                <w:sz w:val="18"/>
                <w:szCs w:val="18"/>
                <w:lang w:val="en-US" w:eastAsia="zh-CN"/>
              </w:rPr>
              <w:t>检测机构</w:t>
            </w:r>
            <w:r>
              <w:rPr>
                <w:rFonts w:hint="eastAsia" w:ascii="宋体" w:hAnsi="宋体"/>
                <w:sz w:val="18"/>
                <w:szCs w:val="18"/>
              </w:rPr>
              <w:t>出具参照国家标准的耐极限高温达到1500℃以上的检测报告。</w:t>
            </w:r>
            <w:r>
              <w:rPr>
                <w:rFonts w:hint="eastAsia" w:ascii="宋体" w:hAnsi="宋体"/>
                <w:sz w:val="18"/>
                <w:szCs w:val="18"/>
              </w:rPr>
              <w:br w:type="textWrapping"/>
            </w:r>
            <w:r>
              <w:rPr>
                <w:rFonts w:hint="eastAsia" w:ascii="宋体" w:hAnsi="宋体"/>
                <w:sz w:val="18"/>
                <w:szCs w:val="18"/>
              </w:rPr>
              <w:t>▲2、陶瓷台面放射性核素限量要求:</w:t>
            </w:r>
            <w:r>
              <w:rPr>
                <w:rFonts w:hint="eastAsia" w:ascii="宋体" w:hAnsi="宋体"/>
                <w:bCs/>
                <w:sz w:val="18"/>
                <w:szCs w:val="18"/>
              </w:rPr>
              <w:t>提供</w:t>
            </w:r>
            <w:r>
              <w:rPr>
                <w:rFonts w:hint="eastAsia" w:ascii="宋体" w:hAnsi="宋体"/>
                <w:sz w:val="18"/>
                <w:szCs w:val="18"/>
                <w:lang w:val="en-US" w:eastAsia="zh-CN"/>
              </w:rPr>
              <w:t>检测机构</w:t>
            </w:r>
            <w:r>
              <w:rPr>
                <w:rFonts w:hint="eastAsia" w:ascii="宋体" w:hAnsi="宋体"/>
                <w:sz w:val="18"/>
                <w:szCs w:val="18"/>
              </w:rPr>
              <w:t>出具</w:t>
            </w:r>
            <w:r>
              <w:rPr>
                <w:rFonts w:hint="eastAsia" w:ascii="宋体" w:hAnsi="宋体"/>
                <w:bCs/>
                <w:sz w:val="18"/>
                <w:szCs w:val="18"/>
              </w:rPr>
              <w:t>参照GB 6566-2010标准外照射指数≤0.9的检测报告。</w:t>
            </w:r>
            <w:r>
              <w:rPr>
                <w:rFonts w:hint="eastAsia" w:ascii="宋体" w:hAnsi="宋体"/>
                <w:sz w:val="18"/>
                <w:szCs w:val="18"/>
              </w:rPr>
              <w:br w:type="textWrapping"/>
            </w:r>
            <w:r>
              <w:rPr>
                <w:rFonts w:hint="eastAsia" w:ascii="宋体" w:hAnsi="宋体"/>
                <w:sz w:val="18"/>
                <w:szCs w:val="18"/>
              </w:rPr>
              <w:t>▲3、陶瓷台面耐化学腐蚀性：为确保性能的稳定性,</w:t>
            </w:r>
            <w:r>
              <w:rPr>
                <w:rFonts w:hint="eastAsia" w:ascii="宋体" w:hAnsi="宋体"/>
                <w:bCs/>
                <w:sz w:val="18"/>
                <w:szCs w:val="18"/>
              </w:rPr>
              <w:t>须提供2016年和2017年连续两年SGS机构出具的“耐化学/耐污染”的检测报告,</w:t>
            </w:r>
            <w:r>
              <w:rPr>
                <w:rFonts w:hint="eastAsia" w:ascii="宋体" w:hAnsi="宋体"/>
                <w:sz w:val="18"/>
                <w:szCs w:val="18"/>
              </w:rPr>
              <w:t>参照SEFA3-2010科学设备及家具协会-实验室工作台面条款2.1台面检测标准，台面至少抗“47”种以上化学试剂且检测结果为0级（表面无变化）。</w:t>
            </w:r>
            <w:r>
              <w:rPr>
                <w:rFonts w:hint="eastAsia" w:ascii="宋体" w:hAnsi="宋体"/>
                <w:sz w:val="18"/>
                <w:szCs w:val="18"/>
              </w:rPr>
              <w:br w:type="textWrapping"/>
            </w:r>
            <w:r>
              <w:rPr>
                <w:rFonts w:hint="eastAsia" w:ascii="宋体" w:hAnsi="宋体"/>
                <w:sz w:val="18"/>
                <w:szCs w:val="18"/>
              </w:rPr>
              <w:t>▲4、陶瓷台面抗菌性能：提供由</w:t>
            </w:r>
            <w:r>
              <w:rPr>
                <w:rFonts w:hint="eastAsia" w:ascii="宋体" w:hAnsi="宋体"/>
                <w:sz w:val="18"/>
                <w:szCs w:val="18"/>
                <w:lang w:val="en-US" w:eastAsia="zh-CN"/>
              </w:rPr>
              <w:t>检测机构</w:t>
            </w:r>
            <w:r>
              <w:rPr>
                <w:rFonts w:hint="eastAsia" w:ascii="宋体" w:hAnsi="宋体"/>
                <w:sz w:val="18"/>
                <w:szCs w:val="18"/>
              </w:rPr>
              <w:t>出具陶瓷台面表面不吸附细菌，肺炎克雷伯氏菌抗菌率≥99.13、大肠杆菌抗菌率≥99.13的</w:t>
            </w:r>
            <w:r>
              <w:rPr>
                <w:rFonts w:hint="eastAsia" w:ascii="宋体" w:hAnsi="宋体"/>
                <w:bCs/>
                <w:sz w:val="18"/>
                <w:szCs w:val="18"/>
              </w:rPr>
              <w:t>检测报告</w:t>
            </w:r>
            <w:r>
              <w:rPr>
                <w:rFonts w:hint="eastAsia" w:ascii="宋体" w:hAnsi="宋体"/>
                <w:sz w:val="18"/>
                <w:szCs w:val="18"/>
              </w:rPr>
              <w:t>。</w:t>
            </w:r>
          </w:p>
          <w:p>
            <w:pPr>
              <w:widowControl/>
              <w:numPr>
                <w:ilvl w:val="0"/>
                <w:numId w:val="0"/>
              </w:numPr>
              <w:jc w:val="left"/>
              <w:rPr>
                <w:rFonts w:hint="eastAsia" w:ascii="宋体" w:hAnsi="宋体"/>
                <w:kern w:val="0"/>
                <w:sz w:val="18"/>
                <w:szCs w:val="18"/>
                <w:lang w:val="en-US" w:eastAsia="zh-CN"/>
              </w:rPr>
            </w:pPr>
            <w:r>
              <w:rPr>
                <w:rFonts w:hint="eastAsia" w:ascii="宋体" w:hAnsi="宋体"/>
                <w:kern w:val="0"/>
                <w:sz w:val="18"/>
                <w:szCs w:val="18"/>
                <w:lang w:val="en-US" w:eastAsia="zh-CN"/>
              </w:rPr>
              <w:t>注：</w:t>
            </w:r>
          </w:p>
          <w:p>
            <w:pPr>
              <w:widowControl/>
              <w:numPr>
                <w:ilvl w:val="0"/>
                <w:numId w:val="0"/>
              </w:numPr>
              <w:jc w:val="left"/>
              <w:rPr>
                <w:rFonts w:ascii="宋体" w:hAnsi="宋体"/>
                <w:kern w:val="0"/>
                <w:sz w:val="18"/>
                <w:szCs w:val="18"/>
              </w:rPr>
            </w:pPr>
            <w:r>
              <w:rPr>
                <w:rFonts w:hint="eastAsia" w:ascii="宋体" w:hAnsi="宋体"/>
                <w:kern w:val="0"/>
                <w:sz w:val="18"/>
                <w:szCs w:val="18"/>
                <w:lang w:val="en-US" w:eastAsia="zh-CN"/>
              </w:rPr>
              <w:t>1.以上检测报告须提供复印件，原件须现场核查后有效</w:t>
            </w:r>
            <w:r>
              <w:rPr>
                <w:rFonts w:hint="eastAsia" w:ascii="宋体" w:hAnsi="宋体"/>
                <w:kern w:val="0"/>
                <w:sz w:val="18"/>
                <w:szCs w:val="18"/>
              </w:rPr>
              <w:br w:type="textWrapping"/>
            </w:r>
            <w:r>
              <w:rPr>
                <w:rFonts w:hint="eastAsia" w:ascii="宋体" w:hAnsi="宋体"/>
                <w:kern w:val="0"/>
                <w:sz w:val="18"/>
                <w:szCs w:val="18"/>
                <w:lang w:val="en-US" w:eastAsia="zh-CN"/>
              </w:rPr>
              <w:t>2.</w:t>
            </w:r>
            <w:r>
              <w:rPr>
                <w:rFonts w:hint="eastAsia" w:ascii="宋体" w:hAnsi="宋体"/>
                <w:kern w:val="0"/>
                <w:sz w:val="18"/>
                <w:szCs w:val="18"/>
              </w:rPr>
              <w:t>提供陶瓷台面原厂授权书及原厂售后服务承诺函原件（合同签订前）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中央实验台</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3000×1500×800</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采用实验室专用12.7mm实芯理化板精制而成，具有：耐强酸碱、耐腐蚀、耐磨、耐撞击、耐刮、耐高温、防水、防火、防静电等特点。结构：采用新型钢木结构、全钢框架，结构稳固、外形美观、经久耐用，台面颜色可选，满足生物实验室实验系统要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实验凳</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￠330×500</w:t>
            </w:r>
          </w:p>
        </w:tc>
        <w:tc>
          <w:tcPr>
            <w:tcW w:w="4784" w:type="dxa"/>
            <w:vAlign w:val="center"/>
          </w:tcPr>
          <w:p>
            <w:pPr>
              <w:widowControl/>
              <w:rPr>
                <w:rFonts w:ascii="宋体" w:hAnsi="宋体"/>
                <w:kern w:val="0"/>
                <w:sz w:val="18"/>
                <w:szCs w:val="18"/>
              </w:rPr>
            </w:pPr>
            <w:r>
              <w:rPr>
                <w:rFonts w:hint="eastAsia" w:ascii="宋体" w:hAnsi="宋体"/>
                <w:kern w:val="0"/>
                <w:sz w:val="18"/>
                <w:szCs w:val="18"/>
              </w:rPr>
              <w:t>凳面：PU材质，厚度≥3CM；360度可旋转气压棒升降；五星电镀钢脚设计；固定可调可更换脚钉。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把</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试剂架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1500*300*450</w:t>
            </w:r>
          </w:p>
        </w:tc>
        <w:tc>
          <w:tcPr>
            <w:tcW w:w="4784" w:type="dxa"/>
            <w:vAlign w:val="center"/>
          </w:tcPr>
          <w:p>
            <w:pPr>
              <w:widowControl/>
              <w:rPr>
                <w:rFonts w:ascii="宋体" w:hAnsi="宋体"/>
                <w:kern w:val="0"/>
                <w:sz w:val="18"/>
                <w:szCs w:val="18"/>
              </w:rPr>
            </w:pPr>
            <w:r>
              <w:rPr>
                <w:rFonts w:hint="eastAsia" w:ascii="宋体" w:hAnsi="宋体"/>
                <w:kern w:val="0"/>
                <w:sz w:val="18"/>
                <w:szCs w:val="18"/>
              </w:rPr>
              <w:t>全钢结构，三角型支架，配套使用；</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衣柜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800×400×1800</w:t>
            </w:r>
          </w:p>
        </w:tc>
        <w:tc>
          <w:tcPr>
            <w:tcW w:w="4784" w:type="dxa"/>
            <w:vAlign w:val="center"/>
          </w:tcPr>
          <w:p>
            <w:pPr>
              <w:widowControl/>
              <w:rPr>
                <w:rFonts w:ascii="宋体" w:hAnsi="宋体"/>
                <w:kern w:val="0"/>
                <w:sz w:val="18"/>
                <w:szCs w:val="18"/>
              </w:rPr>
            </w:pPr>
            <w:r>
              <w:rPr>
                <w:rFonts w:hint="eastAsia" w:ascii="宋体" w:hAnsi="宋体"/>
                <w:kern w:val="0"/>
                <w:sz w:val="18"/>
                <w:szCs w:val="18"/>
              </w:rPr>
              <w:t>全钢结构。1.框架：采用1.2㎜厚镀锌钢板裁剪折弯后满焊点焊接，表面经EPOXY喷涂处理，连接件采用不锈钢连接件。2.柜体：侧板、背板采用采用1.2㎜厚镀锌钢板裁剪折弯后满焊点焊接，表面经EPOXY喷涂处理，连接件采用不锈钢连接件。3.柜门：采用1.2㎜厚镀锌钢板裁剪折弯后满焊点焊接，表面经EPOXY喷涂处理，对开门式设计。4.拉手：采用SUS304不锈钢C型拉手。5.铰链：采用定位铰链或2mm不锈钢合页。6.调整脚：采用ABS新料模具一体成型的承重型可调节地脚，螺丝SUS304不锈钢材质。</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仪器柜</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1000×500×1800</w:t>
            </w:r>
          </w:p>
        </w:tc>
        <w:tc>
          <w:tcPr>
            <w:tcW w:w="4784" w:type="dxa"/>
            <w:vAlign w:val="center"/>
          </w:tcPr>
          <w:p>
            <w:pPr>
              <w:widowControl/>
              <w:rPr>
                <w:rFonts w:ascii="宋体" w:hAnsi="宋体"/>
                <w:kern w:val="0"/>
                <w:sz w:val="18"/>
                <w:szCs w:val="18"/>
              </w:rPr>
            </w:pPr>
            <w:r>
              <w:rPr>
                <w:rFonts w:hint="eastAsia" w:ascii="宋体" w:hAnsi="宋体"/>
                <w:kern w:val="0"/>
                <w:sz w:val="18"/>
                <w:szCs w:val="18"/>
              </w:rPr>
              <w:t>全钢结构。1.框架：采用1.2㎜厚镀锌钢板裁剪折弯后满焊点焊接，表面经EPOXY喷涂处理，连接件采用不锈钢连接件。2.柜体：侧板、背板采用采用1.2㎜厚镀锌钢板裁剪折弯后满焊点焊接，表面经EPOXY喷涂处理，连接件采用不锈钢连接件。3.柜门：采用1.2㎜厚镀锌钢板裁剪折弯后满焊点焊接，表面经EPOXY喷涂处理，对开门式设计。4.拉手：采用SUS304不锈钢C型拉手。5.铰链：采用定位铰链或2mm不锈钢合页。6.调整脚：采用ABS新料模具一体成型的承重型可调节地脚，螺丝SUS304不锈钢材质。</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PP一体化水槽</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450*600*250mm</w:t>
            </w:r>
          </w:p>
        </w:tc>
        <w:tc>
          <w:tcPr>
            <w:tcW w:w="4784" w:type="dxa"/>
            <w:vAlign w:val="center"/>
          </w:tcPr>
          <w:p>
            <w:pPr>
              <w:widowControl/>
              <w:rPr>
                <w:rFonts w:ascii="宋体" w:hAnsi="宋体"/>
                <w:kern w:val="0"/>
                <w:sz w:val="18"/>
                <w:szCs w:val="18"/>
              </w:rPr>
            </w:pPr>
            <w:r>
              <w:rPr>
                <w:rFonts w:hint="eastAsia" w:ascii="宋体" w:hAnsi="宋体"/>
                <w:kern w:val="0"/>
                <w:sz w:val="18"/>
                <w:szCs w:val="18"/>
              </w:rPr>
              <w:t>水槽为整体模具一体成型，尺寸450*600*250，并设有溢水口，底部带S弯防臭设计，与地面下水管密封连接；水柜内设计方管支撑架，前方设置检修门，整体可拆卸背板，便于维修。</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三联水嘴</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4784" w:type="dxa"/>
            <w:vAlign w:val="center"/>
          </w:tcPr>
          <w:p>
            <w:pPr>
              <w:widowControl/>
              <w:rPr>
                <w:rFonts w:ascii="宋体" w:hAnsi="宋体"/>
                <w:kern w:val="0"/>
                <w:sz w:val="18"/>
                <w:szCs w:val="18"/>
              </w:rPr>
            </w:pPr>
            <w:r>
              <w:rPr>
                <w:rFonts w:hint="eastAsia" w:ascii="宋体" w:hAnsi="宋体"/>
                <w:kern w:val="0"/>
                <w:sz w:val="18"/>
                <w:szCs w:val="18"/>
              </w:rPr>
              <w:t>主体：加厚铜质。涂层：高亮度环氧树脂涂层，耐腐蚀、耐热，防紫外线辐射。陶瓷阀芯：90°旋转，使用寿命开关50万次，静态最大耐压20巴。开关旋钮：高密度PP，人体工学设计，手感舒适。鹅颈管：可360°旋转。</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只</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学生电源</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80×80</w:t>
            </w:r>
          </w:p>
        </w:tc>
        <w:tc>
          <w:tcPr>
            <w:tcW w:w="4784" w:type="dxa"/>
            <w:vAlign w:val="center"/>
          </w:tcPr>
          <w:p>
            <w:pPr>
              <w:widowControl/>
              <w:rPr>
                <w:rFonts w:ascii="宋体" w:hAnsi="宋体"/>
                <w:kern w:val="0"/>
                <w:sz w:val="18"/>
                <w:szCs w:val="18"/>
              </w:rPr>
            </w:pPr>
            <w:r>
              <w:rPr>
                <w:rFonts w:hint="eastAsia" w:ascii="宋体" w:hAnsi="宋体"/>
                <w:kern w:val="0"/>
                <w:sz w:val="18"/>
                <w:szCs w:val="18"/>
              </w:rPr>
              <w:t>翻盖岛式PP电源，10A，国标三孔可转换插座，用于实验仪器取电使用，安装于桌体正面，含接线。</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双管净化灯（30W）</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xml:space="preserve"> </w:t>
            </w:r>
          </w:p>
        </w:tc>
        <w:tc>
          <w:tcPr>
            <w:tcW w:w="4784" w:type="dxa"/>
            <w:vAlign w:val="center"/>
          </w:tcPr>
          <w:p>
            <w:pPr>
              <w:widowControl/>
              <w:jc w:val="left"/>
              <w:rPr>
                <w:rFonts w:ascii="宋体" w:hAnsi="宋体"/>
                <w:kern w:val="0"/>
                <w:sz w:val="18"/>
                <w:szCs w:val="18"/>
              </w:rPr>
            </w:pPr>
            <w:r>
              <w:rPr>
                <w:rFonts w:hint="eastAsia" w:ascii="宋体" w:hAnsi="宋体"/>
                <w:kern w:val="0"/>
                <w:sz w:val="18"/>
                <w:szCs w:val="18"/>
              </w:rPr>
              <w:t>40*120cm，含安装，30W</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15</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飞利浦、</w:t>
            </w:r>
            <w:r>
              <w:rPr>
                <w:rFonts w:hint="eastAsia" w:ascii="宋体" w:hAnsi="宋体"/>
                <w:color w:val="000000"/>
                <w:sz w:val="18"/>
                <w:szCs w:val="18"/>
              </w:rPr>
              <w:t>顺冠、欧普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紫外警示装置</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xml:space="preserve"> </w:t>
            </w:r>
          </w:p>
        </w:tc>
        <w:tc>
          <w:tcPr>
            <w:tcW w:w="4784" w:type="dxa"/>
            <w:vAlign w:val="center"/>
          </w:tcPr>
          <w:p>
            <w:pPr>
              <w:widowControl/>
              <w:jc w:val="left"/>
              <w:rPr>
                <w:rFonts w:ascii="宋体" w:hAnsi="宋体"/>
                <w:kern w:val="0"/>
                <w:sz w:val="18"/>
                <w:szCs w:val="18"/>
              </w:rPr>
            </w:pPr>
            <w:r>
              <w:rPr>
                <w:rFonts w:hint="eastAsia" w:ascii="宋体" w:hAnsi="宋体"/>
                <w:kern w:val="0"/>
                <w:sz w:val="18"/>
                <w:szCs w:val="18"/>
              </w:rPr>
              <w:t>含安装，无菌室紫外提醒装置，单独控制，独立线路</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ascii="Tahoma" w:hAnsi="Tahoma" w:cs="Tahoma"/>
                <w:color w:val="333333"/>
                <w:sz w:val="18"/>
                <w:szCs w:val="18"/>
                <w:shd w:val="clear" w:color="auto" w:fill="FFFFFF"/>
              </w:rPr>
              <w:t>雅威</w:t>
            </w:r>
            <w:r>
              <w:rPr>
                <w:rFonts w:hint="eastAsia" w:ascii="Tahoma" w:hAnsi="Tahoma" w:cs="Tahoma"/>
                <w:color w:val="333333"/>
                <w:sz w:val="18"/>
                <w:szCs w:val="18"/>
                <w:shd w:val="clear" w:color="auto" w:fill="FFFFFF"/>
              </w:rPr>
              <w:t>、铠卫信、</w:t>
            </w:r>
            <w:r>
              <w:rPr>
                <w:rFonts w:ascii="Tahoma" w:hAnsi="Tahoma" w:cs="Tahoma"/>
                <w:color w:val="333333"/>
                <w:sz w:val="18"/>
                <w:szCs w:val="18"/>
                <w:shd w:val="clear" w:color="auto" w:fill="FFFFFF"/>
              </w:rPr>
              <w:t>申星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电子显示屏</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xml:space="preserve">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显示温度、湿度等室内状况</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瑞升、三星、联想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挂式空调</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匹数1.5匹、无氟变频、能效等级2级、电辅加热、制冷量(W)</w:t>
            </w:r>
            <w:r>
              <w:rPr>
                <w:rFonts w:hint="eastAsia" w:ascii="宋体" w:hAnsi="宋体"/>
                <w:kern w:val="0"/>
                <w:sz w:val="18"/>
                <w:szCs w:val="18"/>
              </w:rPr>
              <w:br w:type="textWrapping"/>
            </w:r>
            <w:r>
              <w:rPr>
                <w:rFonts w:hint="eastAsia" w:ascii="宋体" w:hAnsi="宋体"/>
                <w:kern w:val="0"/>
                <w:sz w:val="18"/>
                <w:szCs w:val="18"/>
              </w:rPr>
              <w:t>3500(300-4220)、制冷功率(W)960(105-1580)、制热量(W)4500(300-5620)、制热功率(W)1210(105-1755)、电辅加热功率(W)1100、内机噪音(dB(A)超强41/高风36/静音17、外机噪音(dB(A)50、变频机能效比4.13、循环风量(m3/h)700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立式空调</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5P及以上</w:t>
            </w:r>
            <w:r>
              <w:rPr>
                <w:rFonts w:hint="eastAsia" w:ascii="宋体" w:hAnsi="宋体"/>
                <w:kern w:val="0"/>
                <w:sz w:val="18"/>
                <w:szCs w:val="18"/>
              </w:rPr>
              <w:br w:type="textWrapping"/>
            </w:r>
            <w:r>
              <w:rPr>
                <w:rFonts w:hint="eastAsia" w:ascii="宋体" w:hAnsi="宋体"/>
                <w:kern w:val="0"/>
                <w:sz w:val="18"/>
                <w:szCs w:val="18"/>
              </w:rPr>
              <w:t>冷暖</w:t>
            </w:r>
            <w:r>
              <w:rPr>
                <w:rFonts w:hint="eastAsia" w:ascii="宋体" w:hAnsi="宋体"/>
                <w:kern w:val="0"/>
                <w:sz w:val="18"/>
                <w:szCs w:val="18"/>
              </w:rPr>
              <w:br w:type="textWrapping"/>
            </w:r>
            <w:r>
              <w:rPr>
                <w:rFonts w:hint="eastAsia" w:ascii="宋体" w:hAnsi="宋体"/>
                <w:kern w:val="0"/>
                <w:sz w:val="18"/>
                <w:szCs w:val="18"/>
              </w:rPr>
              <w:t>定频</w:t>
            </w:r>
            <w:r>
              <w:rPr>
                <w:rFonts w:hint="eastAsia" w:ascii="宋体" w:hAnsi="宋体"/>
                <w:kern w:val="0"/>
                <w:sz w:val="18"/>
                <w:szCs w:val="18"/>
              </w:rPr>
              <w:br w:type="textWrapping"/>
            </w:r>
            <w:r>
              <w:rPr>
                <w:rFonts w:hint="eastAsia" w:ascii="宋体" w:hAnsi="宋体"/>
                <w:kern w:val="0"/>
                <w:sz w:val="18"/>
                <w:szCs w:val="18"/>
              </w:rPr>
              <w:t>电辅加热</w:t>
            </w:r>
            <w:r>
              <w:rPr>
                <w:rFonts w:hint="eastAsia" w:ascii="宋体" w:hAnsi="宋体"/>
                <w:kern w:val="0"/>
                <w:sz w:val="18"/>
                <w:szCs w:val="18"/>
              </w:rPr>
              <w:br w:type="textWrapping"/>
            </w:r>
            <w:r>
              <w:rPr>
                <w:rFonts w:hint="eastAsia" w:ascii="宋体" w:hAnsi="宋体"/>
                <w:kern w:val="0"/>
                <w:sz w:val="18"/>
                <w:szCs w:val="18"/>
              </w:rPr>
              <w:t>制冷量(W)：12000</w:t>
            </w:r>
            <w:r>
              <w:rPr>
                <w:rFonts w:hint="eastAsia" w:ascii="宋体" w:hAnsi="宋体"/>
                <w:kern w:val="0"/>
                <w:sz w:val="18"/>
                <w:szCs w:val="18"/>
              </w:rPr>
              <w:br w:type="textWrapping"/>
            </w:r>
            <w:r>
              <w:rPr>
                <w:rFonts w:hint="eastAsia" w:ascii="宋体" w:hAnsi="宋体"/>
                <w:kern w:val="0"/>
                <w:sz w:val="18"/>
                <w:szCs w:val="18"/>
              </w:rPr>
              <w:t>制冷功率(W)：3680</w:t>
            </w:r>
            <w:r>
              <w:rPr>
                <w:rFonts w:hint="eastAsia" w:ascii="宋体" w:hAnsi="宋体"/>
                <w:kern w:val="0"/>
                <w:sz w:val="18"/>
                <w:szCs w:val="18"/>
              </w:rPr>
              <w:br w:type="textWrapping"/>
            </w:r>
            <w:r>
              <w:rPr>
                <w:rFonts w:hint="eastAsia" w:ascii="宋体" w:hAnsi="宋体"/>
                <w:kern w:val="0"/>
                <w:sz w:val="18"/>
                <w:szCs w:val="18"/>
              </w:rPr>
              <w:t>制热量(W)：14000</w:t>
            </w:r>
            <w:r>
              <w:rPr>
                <w:rFonts w:hint="eastAsia" w:ascii="宋体" w:hAnsi="宋体"/>
                <w:kern w:val="0"/>
                <w:sz w:val="18"/>
                <w:szCs w:val="18"/>
              </w:rPr>
              <w:br w:type="textWrapping"/>
            </w:r>
            <w:r>
              <w:rPr>
                <w:rFonts w:hint="eastAsia" w:ascii="宋体" w:hAnsi="宋体"/>
                <w:kern w:val="0"/>
                <w:sz w:val="18"/>
                <w:szCs w:val="18"/>
              </w:rPr>
              <w:t>制热功率(W)：3950</w:t>
            </w:r>
            <w:r>
              <w:rPr>
                <w:rFonts w:hint="eastAsia" w:ascii="宋体" w:hAnsi="宋体"/>
                <w:kern w:val="0"/>
                <w:sz w:val="18"/>
                <w:szCs w:val="18"/>
              </w:rPr>
              <w:br w:type="textWrapping"/>
            </w:r>
            <w:r>
              <w:rPr>
                <w:rFonts w:hint="eastAsia" w:ascii="宋体" w:hAnsi="宋体"/>
                <w:kern w:val="0"/>
                <w:sz w:val="18"/>
                <w:szCs w:val="18"/>
              </w:rPr>
              <w:t>电辅加热功率(W)：3500</w:t>
            </w:r>
            <w:r>
              <w:rPr>
                <w:rFonts w:hint="eastAsia" w:ascii="宋体" w:hAnsi="宋体"/>
                <w:kern w:val="0"/>
                <w:sz w:val="18"/>
                <w:szCs w:val="18"/>
              </w:rPr>
              <w:br w:type="textWrapping"/>
            </w:r>
            <w:r>
              <w:rPr>
                <w:rFonts w:hint="eastAsia" w:ascii="宋体" w:hAnsi="宋体"/>
                <w:kern w:val="0"/>
                <w:sz w:val="18"/>
                <w:szCs w:val="18"/>
              </w:rPr>
              <w:t>内机噪音(dB(A)：51/46/41</w:t>
            </w:r>
            <w:r>
              <w:rPr>
                <w:rFonts w:hint="eastAsia" w:ascii="宋体" w:hAnsi="宋体"/>
                <w:kern w:val="0"/>
                <w:sz w:val="18"/>
                <w:szCs w:val="18"/>
              </w:rPr>
              <w:br w:type="textWrapping"/>
            </w:r>
            <w:r>
              <w:rPr>
                <w:rFonts w:hint="eastAsia" w:ascii="宋体" w:hAnsi="宋体"/>
                <w:kern w:val="0"/>
                <w:sz w:val="18"/>
                <w:szCs w:val="18"/>
              </w:rPr>
              <w:t>外机噪音(dB(A)：58</w:t>
            </w:r>
            <w:r>
              <w:rPr>
                <w:rFonts w:hint="eastAsia" w:ascii="宋体" w:hAnsi="宋体"/>
                <w:kern w:val="0"/>
                <w:sz w:val="18"/>
                <w:szCs w:val="18"/>
              </w:rPr>
              <w:br w:type="textWrapping"/>
            </w:r>
            <w:r>
              <w:rPr>
                <w:rFonts w:hint="eastAsia" w:ascii="宋体" w:hAnsi="宋体"/>
                <w:kern w:val="0"/>
                <w:sz w:val="18"/>
                <w:szCs w:val="18"/>
              </w:rPr>
              <w:t>定频机能效比：3.19</w:t>
            </w:r>
            <w:r>
              <w:rPr>
                <w:rFonts w:hint="eastAsia" w:ascii="宋体" w:hAnsi="宋体"/>
                <w:kern w:val="0"/>
                <w:sz w:val="18"/>
                <w:szCs w:val="18"/>
              </w:rPr>
              <w:br w:type="textWrapping"/>
            </w:r>
            <w:r>
              <w:rPr>
                <w:rFonts w:hint="eastAsia" w:ascii="宋体" w:hAnsi="宋体"/>
                <w:kern w:val="0"/>
                <w:sz w:val="18"/>
                <w:szCs w:val="18"/>
              </w:rPr>
              <w:t>循环风量(m3/h)：2000</w:t>
            </w:r>
            <w:r>
              <w:rPr>
                <w:rFonts w:hint="eastAsia" w:ascii="宋体" w:hAnsi="宋体"/>
                <w:kern w:val="0"/>
                <w:sz w:val="18"/>
                <w:szCs w:val="18"/>
              </w:rPr>
              <w:br w:type="textWrapping"/>
            </w:r>
            <w:r>
              <w:rPr>
                <w:rFonts w:hint="eastAsia" w:ascii="宋体" w:hAnsi="宋体"/>
                <w:kern w:val="0"/>
                <w:sz w:val="18"/>
                <w:szCs w:val="18"/>
              </w:rPr>
              <w:t>上下/左右扫风</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台</w:t>
            </w:r>
          </w:p>
        </w:tc>
        <w:tc>
          <w:tcPr>
            <w:tcW w:w="1168" w:type="dxa"/>
            <w:vAlign w:val="center"/>
          </w:tcPr>
          <w:p>
            <w:pPr>
              <w:jc w:val="center"/>
              <w:rPr>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空调辅材及安装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包含：连机铜管、电源线、PVC排水管、吊杆、支架。人工费、安装费等辅助。</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kern w:val="0"/>
                <w:sz w:val="18"/>
                <w:szCs w:val="18"/>
              </w:rPr>
              <w:t>格力、海尔、美的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684" w:type="dxa"/>
            <w:gridSpan w:val="3"/>
            <w:vAlign w:val="bottom"/>
          </w:tcPr>
          <w:p>
            <w:pPr>
              <w:widowControl/>
              <w:jc w:val="center"/>
              <w:rPr>
                <w:rFonts w:ascii="宋体" w:hAnsi="宋体"/>
                <w:b/>
                <w:bCs/>
                <w:kern w:val="0"/>
                <w:sz w:val="18"/>
                <w:szCs w:val="18"/>
              </w:rPr>
            </w:pPr>
            <w:r>
              <w:rPr>
                <w:rFonts w:hint="eastAsia" w:ascii="宋体" w:hAnsi="宋体"/>
                <w:b/>
                <w:bCs/>
                <w:kern w:val="0"/>
                <w:sz w:val="18"/>
                <w:szCs w:val="18"/>
              </w:rPr>
              <w:t>（三）实验室主体构架建设及文化展示</w:t>
            </w:r>
          </w:p>
        </w:tc>
        <w:tc>
          <w:tcPr>
            <w:tcW w:w="4784" w:type="dxa"/>
            <w:vAlign w:val="center"/>
          </w:tcPr>
          <w:p>
            <w:pPr>
              <w:widowControl/>
              <w:jc w:val="left"/>
              <w:rPr>
                <w:rFonts w:ascii="宋体" w:hAnsi="宋体"/>
                <w:b/>
                <w:bCs/>
                <w:kern w:val="0"/>
                <w:sz w:val="18"/>
                <w:szCs w:val="18"/>
              </w:rPr>
            </w:pPr>
          </w:p>
        </w:tc>
        <w:tc>
          <w:tcPr>
            <w:tcW w:w="556" w:type="dxa"/>
            <w:vAlign w:val="center"/>
          </w:tcPr>
          <w:p>
            <w:pPr>
              <w:widowControl/>
              <w:jc w:val="center"/>
              <w:rPr>
                <w:rFonts w:ascii="宋体" w:hAnsi="宋体"/>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文化展示展板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要求结构符合整体设计理念，符合整体创新中心学科特色展示构造，内容要求满足生物实验室课题设计要求，材质采用高强度雪弗板，贴高清写真画面。含设计、安装。尺寸不小于600*800mm</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原学生台拆卸及安装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1200*600*800</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内容包含拆卸、搬运、安装及配件等全部费用</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24</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原讲台拆卸及安装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3000*700*800</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内容包含拆卸、搬运、安装及配件等全部费用</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配套净化吊顶</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满足设计效果的整体配套，600*600硅钙板净化吊顶造型与石膏板吊顶相结合。</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美露达、宝兰、今顶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生物实验室净化地板</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1、采用优质PVC地板及安装；2、地板厚度不低于2.0mm，面层耐磨层不低于0.5mm；底层为密实层带编织无纺布底，确保地板安装粘合更加牢固；地板中层必须有玻纤稳定层；共三层结构。</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110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ascii="宋体" w:hAnsi="宋体"/>
                <w:sz w:val="18"/>
                <w:szCs w:val="18"/>
              </w:rPr>
              <w:t>LG</w:t>
            </w:r>
            <w:r>
              <w:rPr>
                <w:rFonts w:hint="eastAsia" w:ascii="宋体" w:hAnsi="宋体"/>
                <w:sz w:val="18"/>
                <w:szCs w:val="18"/>
              </w:rPr>
              <w:t>、丽杰、阿姆斯壮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墙面乳胶漆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内容包括墙面修复、底面刮灰、面涂彩色立邦涂料，二底二面。</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132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配套电路系统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生物实验室电线铺设及穿管布线等，BV2.5国标单芯电缆，含室内设备及照明电源供应。</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550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熊猫、起帆、正泰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隔断</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岩棉净化板隔断，表面平整、外观质量优越；结构稳固耐用，含人工及安装；</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72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净化门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jc w:val="left"/>
              <w:rPr>
                <w:rFonts w:ascii="宋体" w:hAnsi="宋体"/>
                <w:kern w:val="0"/>
                <w:sz w:val="18"/>
                <w:szCs w:val="18"/>
              </w:rPr>
            </w:pPr>
            <w:r>
              <w:rPr>
                <w:rFonts w:hint="eastAsia" w:ascii="宋体" w:hAnsi="宋体"/>
                <w:kern w:val="0"/>
                <w:sz w:val="18"/>
                <w:szCs w:val="18"/>
              </w:rPr>
              <w:t>50MM厚夹心彩钢板，含观察窗</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综合网络布线安装</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国标超五类网线穿管安装及开槽修复/含人工。满足8节点使用要求。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r>
              <w:rPr>
                <w:rFonts w:hint="eastAsia" w:ascii="宋体" w:hAnsi="宋体"/>
                <w:sz w:val="18"/>
                <w:szCs w:val="18"/>
              </w:rPr>
              <w:t>西蒙、安普、康普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综合地面开槽及修复</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原墙体局部开槽及修复</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80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米</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插座及开关</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配套品牌开关插座及设备优质地插座</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20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TCL罗格朗、西门子、世耐尔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配套电箱及总控</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强电弱电总控制箱</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雄科、盛美、澳盛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配套LED照明系统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生物实验室配套照明灯具及安装（包含照明筒灯及效果轨道射灯，满足照明及精美展示要求）</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光宏、顺冠、欧普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运输及清洁费用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材料搬运、垃圾清理及保洁，包含拆除原有顶面吊顶等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周边配套安装设施</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满足生物组培实验室设计效果的整体配套，含踢脚线安装、梁柱包边、线路走位修复及处理等配套设施。</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套</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安装辅材</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配套安装辅材、连接件、安装配件等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109</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综合清运及成品保护</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垃圾清理及材料搬运等人工，含成品保护；</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项</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468" w:type="dxa"/>
            <w:gridSpan w:val="4"/>
            <w:vAlign w:val="bottom"/>
          </w:tcPr>
          <w:p>
            <w:pPr>
              <w:widowControl/>
              <w:jc w:val="left"/>
              <w:rPr>
                <w:rFonts w:ascii="宋体" w:hAnsi="宋体"/>
                <w:b/>
                <w:bCs/>
                <w:kern w:val="0"/>
                <w:sz w:val="18"/>
                <w:szCs w:val="18"/>
              </w:rPr>
            </w:pPr>
            <w:r>
              <w:rPr>
                <w:rFonts w:hint="eastAsia" w:ascii="宋体" w:hAnsi="宋体"/>
                <w:b/>
                <w:bCs/>
                <w:kern w:val="0"/>
                <w:sz w:val="18"/>
                <w:szCs w:val="18"/>
              </w:rPr>
              <w:t>九、走廊文化展示及艺术造型</w:t>
            </w:r>
          </w:p>
        </w:tc>
        <w:tc>
          <w:tcPr>
            <w:tcW w:w="556" w:type="dxa"/>
            <w:vAlign w:val="center"/>
          </w:tcPr>
          <w:p>
            <w:pPr>
              <w:widowControl/>
              <w:jc w:val="center"/>
              <w:rPr>
                <w:rFonts w:ascii="宋体" w:hAnsi="宋体"/>
                <w:kern w:val="0"/>
                <w:sz w:val="18"/>
                <w:szCs w:val="18"/>
              </w:rPr>
            </w:pPr>
          </w:p>
        </w:tc>
        <w:tc>
          <w:tcPr>
            <w:tcW w:w="556" w:type="dxa"/>
            <w:vAlign w:val="center"/>
          </w:tcPr>
          <w:p>
            <w:pPr>
              <w:widowControl/>
              <w:jc w:val="center"/>
              <w:rPr>
                <w:rFonts w:ascii="宋体" w:hAnsi="宋体"/>
                <w:kern w:val="0"/>
                <w:sz w:val="18"/>
                <w:szCs w:val="18"/>
              </w:rPr>
            </w:pP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生物课程基地主题墙</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艺术造型设计，符合生物课程基地中心含义表达，采用木质背衬造型，主题雕刻字，铝合金框架结构暗色石膏板喷涂，平四面木质表面烤漆；表达课程基地的主题介绍及实验室分布索引等</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三四楼文化展示模块</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要求结构符合整体设计理念，符合整体生物教育课程基地特色展示构造，通过生物学的前沿科技、生物发展史、最新研究成果展示、生物学杰出科学家介绍等内容展示，内容及安装造型需经学校确认后方可实施，满足课程展示定位，材质采用高强度雪弗板与造型板，贴高清写真画面。含设计、安装。尺寸不小于600*800mm；</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三四楼生物艺术造型模块</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采用木工板背衬，表面石膏板艺术造型制作，营造不同形状的生物学图形，体验走廊文化设计的多层次性，木质烤漆边框，美观耐用。局部顶部采用生物发展史造型营造多层次展示效果。</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42</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墙顶面色彩艺术处理</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面刷乳胶漆二遍，根据分层设计，结合图纸要求实施；</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488</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立邦、三棵树、多乐士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生物课程基地艺术班牌</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定制</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材质：平面铝合金</w:t>
            </w:r>
            <w:r>
              <w:rPr>
                <w:rFonts w:hint="eastAsia" w:ascii="宋体" w:hAnsi="宋体"/>
                <w:kern w:val="0"/>
                <w:sz w:val="18"/>
                <w:szCs w:val="18"/>
              </w:rPr>
              <w:br w:type="textWrapping"/>
            </w:r>
            <w:r>
              <w:rPr>
                <w:rFonts w:hint="eastAsia" w:ascii="宋体" w:hAnsi="宋体"/>
                <w:kern w:val="0"/>
                <w:sz w:val="18"/>
                <w:szCs w:val="18"/>
              </w:rPr>
              <w:t>工艺：烤汽车漆，丝网印刷</w:t>
            </w:r>
            <w:r>
              <w:rPr>
                <w:rFonts w:hint="eastAsia" w:ascii="宋体" w:hAnsi="宋体"/>
                <w:kern w:val="0"/>
                <w:sz w:val="18"/>
                <w:szCs w:val="18"/>
              </w:rPr>
              <w:br w:type="textWrapping"/>
            </w:r>
            <w:r>
              <w:rPr>
                <w:rFonts w:hint="eastAsia" w:ascii="宋体" w:hAnsi="宋体"/>
                <w:kern w:val="0"/>
                <w:sz w:val="18"/>
                <w:szCs w:val="18"/>
              </w:rPr>
              <w:t>厚度：7mm左右</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9</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门锁</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bottom"/>
          </w:tcPr>
          <w:p>
            <w:pPr>
              <w:widowControl/>
              <w:jc w:val="left"/>
              <w:rPr>
                <w:rFonts w:ascii="宋体" w:hAnsi="宋体"/>
                <w:kern w:val="0"/>
                <w:sz w:val="18"/>
                <w:szCs w:val="18"/>
              </w:rPr>
            </w:pPr>
            <w:r>
              <w:rPr>
                <w:rFonts w:hint="eastAsia" w:ascii="宋体" w:hAnsi="宋体"/>
                <w:kern w:val="0"/>
                <w:sz w:val="18"/>
                <w:szCs w:val="18"/>
              </w:rPr>
              <w:t>材质：SUS304不锈钢</w:t>
            </w:r>
            <w:r>
              <w:rPr>
                <w:rFonts w:hint="eastAsia" w:ascii="宋体" w:hAnsi="宋体"/>
                <w:kern w:val="0"/>
                <w:sz w:val="18"/>
                <w:szCs w:val="18"/>
              </w:rPr>
              <w:br w:type="textWrapping"/>
            </w:r>
            <w:r>
              <w:rPr>
                <w:rFonts w:hint="eastAsia" w:ascii="宋体" w:hAnsi="宋体"/>
                <w:kern w:val="0"/>
                <w:sz w:val="18"/>
                <w:szCs w:val="18"/>
              </w:rPr>
              <w:t>门边距：45MM或者50MM</w:t>
            </w:r>
            <w:r>
              <w:rPr>
                <w:rFonts w:hint="eastAsia" w:ascii="宋体" w:hAnsi="宋体"/>
                <w:kern w:val="0"/>
                <w:sz w:val="18"/>
                <w:szCs w:val="18"/>
              </w:rPr>
              <w:br w:type="textWrapping"/>
            </w:r>
            <w:r>
              <w:rPr>
                <w:rFonts w:hint="eastAsia" w:ascii="宋体" w:hAnsi="宋体"/>
                <w:kern w:val="0"/>
                <w:sz w:val="18"/>
                <w:szCs w:val="18"/>
              </w:rPr>
              <w:t>中心距：50MM</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9</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个</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拆旧</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原墙面拆除及顶面地面设施拆除清运，含辅材及人工</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项</w:t>
            </w:r>
          </w:p>
        </w:tc>
        <w:tc>
          <w:tcPr>
            <w:tcW w:w="1168" w:type="dxa"/>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配套LED照明系统</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jc w:val="left"/>
              <w:rPr>
                <w:rFonts w:ascii="宋体" w:hAnsi="宋体"/>
                <w:kern w:val="0"/>
                <w:sz w:val="18"/>
                <w:szCs w:val="18"/>
              </w:rPr>
            </w:pPr>
            <w:r>
              <w:rPr>
                <w:rFonts w:hint="eastAsia" w:ascii="宋体" w:hAnsi="宋体"/>
                <w:kern w:val="0"/>
                <w:sz w:val="18"/>
                <w:szCs w:val="18"/>
              </w:rPr>
              <w:t>走廊实验室配套照明灯具及安装，造型符合生物学艺术造型</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40</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组</w:t>
            </w:r>
          </w:p>
        </w:tc>
        <w:tc>
          <w:tcPr>
            <w:tcW w:w="1168" w:type="dxa"/>
            <w:vAlign w:val="center"/>
          </w:tcPr>
          <w:p>
            <w:pPr>
              <w:widowControl/>
              <w:jc w:val="center"/>
              <w:rPr>
                <w:rFonts w:ascii="宋体" w:hAnsi="宋体"/>
                <w:kern w:val="0"/>
                <w:sz w:val="18"/>
                <w:szCs w:val="18"/>
              </w:rPr>
            </w:pPr>
            <w:r>
              <w:rPr>
                <w:rFonts w:hint="eastAsia" w:ascii="宋体" w:hAnsi="宋体"/>
                <w:color w:val="000000"/>
                <w:sz w:val="18"/>
                <w:szCs w:val="18"/>
              </w:rPr>
              <w:t>光宏、顺冠、欧普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553" w:type="dxa"/>
            <w:vAlign w:val="center"/>
          </w:tcPr>
          <w:p>
            <w:pPr>
              <w:widowControl/>
              <w:numPr>
                <w:ilvl w:val="0"/>
                <w:numId w:val="5"/>
              </w:numPr>
              <w:jc w:val="center"/>
              <w:rPr>
                <w:rFonts w:ascii="宋体" w:hAnsi="宋体"/>
                <w:bCs/>
                <w:kern w:val="0"/>
                <w:sz w:val="18"/>
                <w:szCs w:val="18"/>
              </w:rPr>
            </w:pPr>
          </w:p>
        </w:tc>
        <w:tc>
          <w:tcPr>
            <w:tcW w:w="1047" w:type="dxa"/>
            <w:vAlign w:val="center"/>
          </w:tcPr>
          <w:p>
            <w:pPr>
              <w:widowControl/>
              <w:jc w:val="center"/>
              <w:rPr>
                <w:rFonts w:ascii="宋体" w:hAnsi="宋体"/>
                <w:kern w:val="0"/>
                <w:sz w:val="18"/>
                <w:szCs w:val="18"/>
              </w:rPr>
            </w:pPr>
            <w:r>
              <w:rPr>
                <w:rFonts w:hint="eastAsia" w:ascii="宋体" w:hAnsi="宋体"/>
                <w:kern w:val="0"/>
                <w:sz w:val="18"/>
                <w:szCs w:val="18"/>
              </w:rPr>
              <w:t>运输及清洁费用</w:t>
            </w:r>
          </w:p>
        </w:tc>
        <w:tc>
          <w:tcPr>
            <w:tcW w:w="1084" w:type="dxa"/>
            <w:vAlign w:val="center"/>
          </w:tcPr>
          <w:p>
            <w:pPr>
              <w:widowControl/>
              <w:jc w:val="center"/>
              <w:rPr>
                <w:rFonts w:ascii="宋体" w:hAnsi="宋体"/>
                <w:kern w:val="0"/>
                <w:sz w:val="18"/>
                <w:szCs w:val="18"/>
              </w:rPr>
            </w:pPr>
            <w:r>
              <w:rPr>
                <w:rFonts w:hint="eastAsia" w:ascii="宋体" w:hAnsi="宋体"/>
                <w:kern w:val="0"/>
                <w:sz w:val="18"/>
                <w:szCs w:val="18"/>
              </w:rPr>
              <w:t>　</w:t>
            </w:r>
          </w:p>
        </w:tc>
        <w:tc>
          <w:tcPr>
            <w:tcW w:w="4784" w:type="dxa"/>
            <w:vAlign w:val="center"/>
          </w:tcPr>
          <w:p>
            <w:pPr>
              <w:widowControl/>
              <w:rPr>
                <w:rFonts w:ascii="宋体" w:hAnsi="宋体"/>
                <w:kern w:val="0"/>
                <w:sz w:val="18"/>
                <w:szCs w:val="18"/>
              </w:rPr>
            </w:pPr>
            <w:r>
              <w:rPr>
                <w:rFonts w:hint="eastAsia" w:ascii="宋体" w:hAnsi="宋体"/>
                <w:kern w:val="0"/>
                <w:sz w:val="18"/>
                <w:szCs w:val="18"/>
              </w:rPr>
              <w:t>材料搬运、垃圾清理及保洁，包含拆除原有墙面顶等，含成品保护；</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1</w:t>
            </w:r>
          </w:p>
        </w:tc>
        <w:tc>
          <w:tcPr>
            <w:tcW w:w="556" w:type="dxa"/>
            <w:vAlign w:val="center"/>
          </w:tcPr>
          <w:p>
            <w:pPr>
              <w:widowControl/>
              <w:jc w:val="center"/>
              <w:rPr>
                <w:rFonts w:ascii="宋体" w:hAnsi="宋体"/>
                <w:kern w:val="0"/>
                <w:sz w:val="18"/>
                <w:szCs w:val="18"/>
              </w:rPr>
            </w:pPr>
            <w:r>
              <w:rPr>
                <w:rFonts w:hint="eastAsia" w:ascii="宋体" w:hAnsi="宋体"/>
                <w:kern w:val="0"/>
                <w:sz w:val="18"/>
                <w:szCs w:val="18"/>
              </w:rPr>
              <w:t>项</w:t>
            </w:r>
          </w:p>
        </w:tc>
        <w:tc>
          <w:tcPr>
            <w:tcW w:w="1168" w:type="dxa"/>
            <w:vAlign w:val="center"/>
          </w:tcPr>
          <w:p>
            <w:pPr>
              <w:widowControl/>
              <w:jc w:val="center"/>
              <w:rPr>
                <w:rFonts w:ascii="宋体" w:hAnsi="宋体"/>
                <w:kern w:val="0"/>
                <w:sz w:val="18"/>
                <w:szCs w:val="18"/>
              </w:rPr>
            </w:pPr>
          </w:p>
        </w:tc>
      </w:tr>
    </w:tbl>
    <w:p>
      <w:pPr>
        <w:spacing w:line="300" w:lineRule="auto"/>
        <w:rPr>
          <w:rFonts w:ascii="宋体" w:hAnsi="宋体"/>
          <w:b/>
          <w:bCs/>
          <w:sz w:val="24"/>
        </w:rPr>
      </w:pPr>
    </w:p>
    <w:p>
      <w:pPr>
        <w:spacing w:line="300" w:lineRule="auto"/>
        <w:rPr>
          <w:rFonts w:ascii="宋体" w:hAnsi="宋体"/>
          <w:b/>
          <w:bCs/>
          <w:sz w:val="24"/>
        </w:rPr>
      </w:pPr>
    </w:p>
    <w:p>
      <w:pPr>
        <w:spacing w:line="300" w:lineRule="auto"/>
        <w:rPr>
          <w:rFonts w:ascii="宋体" w:hAnsi="宋体"/>
          <w:b/>
          <w:bCs/>
          <w:sz w:val="24"/>
        </w:rPr>
      </w:pPr>
    </w:p>
    <w:p>
      <w:pPr>
        <w:spacing w:line="300" w:lineRule="auto"/>
        <w:rPr>
          <w:rFonts w:ascii="宋体" w:hAnsi="宋体"/>
          <w:b/>
          <w:bCs/>
          <w:sz w:val="24"/>
        </w:rPr>
      </w:pPr>
    </w:p>
    <w:bookmarkEnd w:id="18"/>
    <w:bookmarkEnd w:id="19"/>
    <w:p>
      <w:pPr>
        <w:pStyle w:val="17"/>
        <w:spacing w:line="360" w:lineRule="exact"/>
        <w:jc w:val="center"/>
        <w:outlineLvl w:val="0"/>
        <w:rPr>
          <w:rFonts w:hAnsi="宋体"/>
          <w:b/>
          <w:sz w:val="36"/>
        </w:rPr>
      </w:pPr>
      <w:bookmarkStart w:id="20" w:name="_Toc494123937"/>
      <w:r>
        <w:rPr>
          <w:rFonts w:hAnsi="宋体"/>
          <w:b/>
          <w:sz w:val="36"/>
        </w:rPr>
        <w:br w:type="page"/>
      </w:r>
      <w:r>
        <w:rPr>
          <w:rFonts w:hint="eastAsia" w:hAnsi="宋体"/>
          <w:b/>
          <w:sz w:val="36"/>
        </w:rPr>
        <w:t>第七章  评标办法</w:t>
      </w:r>
      <w:bookmarkEnd w:id="20"/>
    </w:p>
    <w:p>
      <w:pPr>
        <w:pStyle w:val="17"/>
        <w:spacing w:line="460" w:lineRule="exact"/>
        <w:ind w:left="358" w:hanging="358" w:hangingChars="170"/>
        <w:rPr>
          <w:rFonts w:hAnsi="宋体"/>
        </w:rPr>
      </w:pPr>
      <w:r>
        <w:rPr>
          <w:rFonts w:hint="eastAsia" w:hAnsi="宋体"/>
          <w:b/>
          <w:bCs/>
        </w:rPr>
        <w:t>一、评标委员会构成</w:t>
      </w:r>
      <w:r>
        <w:rPr>
          <w:rFonts w:hint="eastAsia" w:hAnsi="宋体"/>
        </w:rPr>
        <w:t>：本采购项目评标委员会的评委由采购人代表、相关专家组成。</w:t>
      </w:r>
    </w:p>
    <w:p>
      <w:pPr>
        <w:pStyle w:val="17"/>
        <w:tabs>
          <w:tab w:val="left" w:pos="2472"/>
        </w:tabs>
        <w:spacing w:line="460" w:lineRule="exact"/>
        <w:ind w:left="358" w:hanging="358" w:hangingChars="170"/>
        <w:rPr>
          <w:rFonts w:hAnsi="宋体"/>
        </w:rPr>
      </w:pPr>
      <w:r>
        <w:rPr>
          <w:rFonts w:hint="eastAsia" w:hAnsi="宋体"/>
          <w:b/>
          <w:bCs/>
        </w:rPr>
        <w:t>二、评标原则</w:t>
      </w:r>
      <w:r>
        <w:rPr>
          <w:rFonts w:hint="eastAsia" w:hAnsi="宋体"/>
        </w:rPr>
        <w:t>：评标委员会必须公平、公正、客观，不带任何倾向性和启发性；不得向外界透露任何与评标有关的内容；任何单位和个人不得干扰、影响评标的正常进行；评标委员会及有关工作人员不得私下与供应商接触。</w:t>
      </w:r>
    </w:p>
    <w:p>
      <w:pPr>
        <w:pStyle w:val="32"/>
        <w:tabs>
          <w:tab w:val="left" w:pos="720"/>
          <w:tab w:val="clear" w:pos="916"/>
        </w:tabs>
        <w:spacing w:line="360" w:lineRule="auto"/>
      </w:pPr>
      <w:r>
        <w:rPr>
          <w:rFonts w:hint="eastAsia"/>
          <w:b/>
          <w:bCs/>
        </w:rPr>
        <w:t>三、评标办法</w:t>
      </w:r>
      <w:r>
        <w:rPr>
          <w:rFonts w:hint="eastAsia"/>
        </w:rPr>
        <w:t>：</w:t>
      </w:r>
    </w:p>
    <w:p>
      <w:pPr>
        <w:pStyle w:val="32"/>
        <w:tabs>
          <w:tab w:val="left" w:pos="720"/>
          <w:tab w:val="clear" w:pos="916"/>
        </w:tabs>
        <w:spacing w:line="360" w:lineRule="auto"/>
        <w:ind w:left="734" w:leftChars="186" w:hanging="343" w:hangingChars="122"/>
        <w:jc w:val="center"/>
        <w:rPr>
          <w:b/>
          <w:kern w:val="2"/>
          <w:sz w:val="28"/>
          <w:szCs w:val="28"/>
        </w:rPr>
      </w:pPr>
      <w:r>
        <w:rPr>
          <w:rFonts w:hint="eastAsia"/>
          <w:b/>
          <w:kern w:val="2"/>
          <w:sz w:val="28"/>
          <w:szCs w:val="28"/>
        </w:rPr>
        <w:t>综合评分法</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rPr>
      </w:pPr>
      <w:r>
        <w:rPr>
          <w:rFonts w:hint="eastAsia" w:ascii="宋体" w:hAnsi="宋体"/>
        </w:rPr>
        <w:t>（一）评委以采购文件为评标依据，对投标人的投标报价、商务技术文件等内容打分。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rPr>
      </w:pPr>
      <w:r>
        <w:rPr>
          <w:rFonts w:hint="eastAsia" w:ascii="宋体" w:hAnsi="宋体"/>
        </w:rPr>
        <w:t>（二）评分标准：（按四舍五入取至小数点后一位）</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b/>
        </w:rPr>
      </w:pPr>
      <w:r>
        <w:rPr>
          <w:rFonts w:hint="eastAsia" w:ascii="宋体" w:hAnsi="宋体"/>
          <w:b/>
        </w:rPr>
        <w:t>1.价格分A（总分30分）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rPr>
      </w:pPr>
      <w:r>
        <w:rPr>
          <w:rFonts w:hint="eastAsia" w:ascii="宋体" w:hAnsi="宋体"/>
        </w:rPr>
        <w:t>价格分计算公式：</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rPr>
      </w:pPr>
      <w:r>
        <w:rPr>
          <w:rFonts w:hint="eastAsia" w:ascii="宋体" w:hAnsi="宋体"/>
        </w:rPr>
        <w:t xml:space="preserve">                　　投标人最低投标报价金额（万元）</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172085</wp:posOffset>
                </wp:positionV>
                <wp:extent cx="1971675" cy="3175"/>
                <wp:effectExtent l="9525" t="10160" r="9525" b="5715"/>
                <wp:wrapNone/>
                <wp:docPr id="1" name="直线 52"/>
                <wp:cNvGraphicFramePr/>
                <a:graphic xmlns:a="http://schemas.openxmlformats.org/drawingml/2006/main">
                  <a:graphicData uri="http://schemas.microsoft.com/office/word/2010/wordprocessingShape">
                    <wps:wsp>
                      <wps:cNvCnPr>
                        <a:cxnSpLocks noChangeShapeType="1"/>
                      </wps:cNvCnPr>
                      <wps:spPr bwMode="auto">
                        <a:xfrm flipV="1">
                          <a:off x="0" y="0"/>
                          <a:ext cx="1971675" cy="3175"/>
                        </a:xfrm>
                        <a:prstGeom prst="line">
                          <a:avLst/>
                        </a:prstGeom>
                        <a:noFill/>
                        <a:ln w="9525" cmpd="sng">
                          <a:solidFill>
                            <a:srgbClr val="000000"/>
                          </a:solidFill>
                          <a:round/>
                        </a:ln>
                      </wps:spPr>
                      <wps:bodyPr/>
                    </wps:wsp>
                  </a:graphicData>
                </a:graphic>
              </wp:anchor>
            </w:drawing>
          </mc:Choice>
          <mc:Fallback>
            <w:pict>
              <v:line id="直线 52" o:spid="_x0000_s1026" o:spt="20" style="position:absolute;left:0pt;flip:y;margin-left:126pt;margin-top:13.55pt;height:0.25pt;width:155.25pt;z-index:251658240;mso-width-relative:page;mso-height-relative:page;" filled="f" stroked="t" coordsize="21600,21600" o:gfxdata="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lIgirXAAAACQEAAA8AAAAAAAAAAQAgAAAAIgAAAGRy&#10;cy9kb3ducmV2LnhtbFBLAQIUABQAAAAIAIdO4kA5rwJtzQEAAGw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rPr>
        <w:t>某投标人价格分 A=                                   　×　30分</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rPr>
      </w:pPr>
      <w:r>
        <w:rPr>
          <w:rFonts w:hint="eastAsia" w:ascii="宋体" w:hAnsi="宋体"/>
        </w:rPr>
        <w:t xml:space="preserve">                   　某投标人投标报价金额（万元）</w:t>
      </w: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rPr>
      </w:pPr>
    </w:p>
    <w:p>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420"/>
        <w:rPr>
          <w:rFonts w:ascii="宋体" w:hAnsi="宋体"/>
          <w:b/>
        </w:rPr>
      </w:pPr>
      <w:r>
        <w:rPr>
          <w:rFonts w:hint="eastAsia" w:ascii="宋体" w:hAnsi="宋体"/>
          <w:b/>
        </w:rPr>
        <w:t>2. 商务分和技术分C (总分70分)</w:t>
      </w:r>
    </w:p>
    <w:tbl>
      <w:tblPr>
        <w:tblStyle w:val="41"/>
        <w:tblW w:w="99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2"/>
        <w:gridCol w:w="7088"/>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8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szCs w:val="21"/>
              </w:rPr>
            </w:pPr>
            <w:r>
              <w:rPr>
                <w:rFonts w:hint="eastAsia" w:ascii="宋体" w:hAnsi="宋体"/>
                <w:b/>
                <w:szCs w:val="21"/>
              </w:rPr>
              <w:t>类别</w:t>
            </w: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b/>
                <w:szCs w:val="21"/>
              </w:rPr>
            </w:pPr>
            <w:r>
              <w:rPr>
                <w:rFonts w:hint="eastAsia" w:ascii="宋体" w:hAnsi="宋体"/>
                <w:b/>
                <w:szCs w:val="21"/>
              </w:rPr>
              <w:t>评分项</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5"/>
              <w:jc w:val="center"/>
              <w:rPr>
                <w:rFonts w:ascii="宋体" w:hAnsi="宋体"/>
                <w:b/>
                <w:szCs w:val="21"/>
              </w:rPr>
            </w:pPr>
            <w:r>
              <w:rPr>
                <w:rFonts w:hint="eastAsia" w:ascii="宋体" w:hAnsi="宋体"/>
                <w:b/>
                <w:szCs w:val="21"/>
              </w:rPr>
              <w:t>评分细则</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76" w:type="dxa"/>
            <w:vMerge w:val="restart"/>
            <w:tcBorders>
              <w:top w:val="single" w:color="auto" w:sz="4" w:space="0"/>
              <w:left w:val="single" w:color="auto" w:sz="4" w:space="0"/>
              <w:right w:val="single" w:color="auto" w:sz="4" w:space="0"/>
            </w:tcBorders>
            <w:vAlign w:val="center"/>
          </w:tcPr>
          <w:p>
            <w:pPr>
              <w:widowControl/>
              <w:jc w:val="left"/>
              <w:rPr>
                <w:rFonts w:ascii="宋体" w:hAnsi="宋体"/>
                <w:szCs w:val="21"/>
              </w:rPr>
            </w:pPr>
            <w:r>
              <w:rPr>
                <w:rFonts w:ascii="宋体" w:hAnsi="宋体"/>
                <w:szCs w:val="21"/>
              </w:rPr>
              <w:t>商务部分（</w:t>
            </w:r>
            <w:r>
              <w:rPr>
                <w:rFonts w:hint="eastAsia" w:ascii="宋体" w:hAnsi="宋体"/>
                <w:szCs w:val="21"/>
              </w:rPr>
              <w:t>20分</w:t>
            </w:r>
            <w:r>
              <w:rPr>
                <w:rFonts w:ascii="宋体" w:hAnsi="宋体"/>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r>
              <w:rPr>
                <w:rFonts w:ascii="宋体" w:hAnsi="宋体"/>
                <w:szCs w:val="21"/>
              </w:rPr>
              <w:t>相关认证</w:t>
            </w:r>
            <w:r>
              <w:rPr>
                <w:rFonts w:hint="eastAsia" w:ascii="宋体" w:hAnsi="宋体"/>
                <w:szCs w:val="21"/>
              </w:rPr>
              <w:t>（4分）</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color w:val="000000"/>
                <w:szCs w:val="21"/>
              </w:rPr>
              <w:t>提</w:t>
            </w:r>
            <w:r>
              <w:rPr>
                <w:rFonts w:hint="eastAsia" w:ascii="宋体" w:hAnsi="宋体"/>
                <w:color w:val="000000"/>
                <w:spacing w:val="15"/>
                <w:szCs w:val="21"/>
              </w:rPr>
              <w:t>供ISO9001质量管理体系认证、ISO14001环境管理体系认证、职业健康安全管理体系认证、政府机构或银行或评估机构出具的AAA证书,每个</w:t>
            </w:r>
            <w:r>
              <w:rPr>
                <w:rFonts w:hint="eastAsia" w:ascii="宋体" w:hAnsi="宋体"/>
                <w:color w:val="000000"/>
                <w:szCs w:val="21"/>
              </w:rPr>
              <w:t>得1分，最高得4分</w:t>
            </w:r>
            <w:r>
              <w:rPr>
                <w:rFonts w:hint="eastAsia" w:ascii="宋体" w:hAnsi="宋体"/>
                <w:color w:val="000000"/>
                <w:spacing w:val="15"/>
                <w:szCs w:val="21"/>
              </w:rPr>
              <w:t>。</w:t>
            </w:r>
            <w:r>
              <w:rPr>
                <w:rFonts w:hint="eastAsia" w:ascii="宋体" w:hAnsi="宋体"/>
                <w:b/>
                <w:bCs/>
                <w:color w:val="000000"/>
                <w:spacing w:val="15"/>
                <w:szCs w:val="21"/>
              </w:rPr>
              <w:t>（证书须在有效期内，须提供相关证书复印件加盖投标单位公章）</w:t>
            </w:r>
          </w:p>
        </w:tc>
        <w:tc>
          <w:tcPr>
            <w:tcW w:w="1016"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rPr>
                <w:rFonts w:ascii="宋体" w:hAnsi="宋体"/>
                <w:szCs w:val="21"/>
              </w:rPr>
            </w:pPr>
            <w:r>
              <w:rPr>
                <w:rFonts w:hint="eastAsia" w:ascii="宋体" w:hAnsi="宋体"/>
                <w:szCs w:val="21"/>
              </w:rPr>
              <w:t>成功案例（8分）</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Tahoma"/>
                <w:color w:val="000000"/>
                <w:kern w:val="0"/>
                <w:szCs w:val="21"/>
              </w:rPr>
            </w:pPr>
            <w:r>
              <w:rPr>
                <w:rFonts w:hint="eastAsia" w:ascii="宋体" w:hAnsi="宋体" w:cs="Tahoma"/>
                <w:color w:val="000000"/>
                <w:kern w:val="0"/>
                <w:szCs w:val="21"/>
              </w:rPr>
              <w:t>2015年1月1日至今同类项目业绩（同类项目是指：生物设备采购项目），单项合同120万元及以上的成功案例，每提供一份得2分，满分8分。</w:t>
            </w:r>
          </w:p>
          <w:p>
            <w:pPr>
              <w:spacing w:line="400" w:lineRule="exact"/>
              <w:rPr>
                <w:rFonts w:ascii="宋体" w:hAnsi="宋体" w:cs="Tahoma"/>
                <w:color w:val="000000"/>
                <w:kern w:val="0"/>
                <w:szCs w:val="21"/>
              </w:rPr>
            </w:pPr>
            <w:r>
              <w:rPr>
                <w:rFonts w:hint="eastAsia" w:ascii="宋体" w:hAnsi="宋体" w:cs="Tahoma"/>
                <w:b/>
                <w:bCs/>
                <w:color w:val="000000"/>
                <w:kern w:val="0"/>
                <w:szCs w:val="21"/>
              </w:rPr>
              <w:t>（</w:t>
            </w:r>
            <w:r>
              <w:rPr>
                <w:rFonts w:hint="eastAsia" w:ascii="宋体" w:hAnsi="宋体"/>
                <w:b/>
                <w:bCs/>
                <w:color w:val="000000"/>
                <w:spacing w:val="15"/>
                <w:szCs w:val="21"/>
              </w:rPr>
              <w:t>须提供合同复印件加盖投标单位公章</w:t>
            </w:r>
            <w:r>
              <w:rPr>
                <w:rFonts w:hint="eastAsia" w:ascii="宋体" w:hAnsi="宋体" w:cs="Tahoma"/>
                <w:b/>
                <w:bCs/>
                <w:color w:val="000000"/>
                <w:kern w:val="0"/>
                <w:szCs w:val="21"/>
              </w:rPr>
              <w:t>）</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center"/>
              <w:rPr>
                <w:rFonts w:ascii="宋体" w:hAnsi="宋体"/>
                <w:szCs w:val="21"/>
              </w:rPr>
            </w:pPr>
            <w:r>
              <w:rPr>
                <w:rFonts w:hint="eastAsia" w:ascii="宋体" w:hAnsi="宋体"/>
                <w:szCs w:val="21"/>
              </w:rPr>
              <w:t>投标文件的制作情况（2分）</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1、投标文件制作的条理性、表述清晰程度和对招标文件的响应程度:1分；</w:t>
            </w:r>
          </w:p>
          <w:p>
            <w:pPr>
              <w:spacing w:line="400" w:lineRule="exact"/>
              <w:rPr>
                <w:rFonts w:ascii="宋体" w:hAnsi="宋体"/>
                <w:szCs w:val="21"/>
              </w:rPr>
            </w:pPr>
            <w:r>
              <w:rPr>
                <w:rFonts w:hint="eastAsia" w:ascii="宋体" w:hAnsi="宋体"/>
                <w:szCs w:val="21"/>
              </w:rPr>
              <w:t>2、页码规范、提供评分索引表:1分。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项目组人员素质情况（2分）</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投标人提供完善的质量管理体系；项目经理和技术负责人的资质、工作履历、工程实践证明资料等情况（参考履历表和相关资料、证书等）由评委横向比较，</w:t>
            </w:r>
            <w:r>
              <w:rPr>
                <w:rFonts w:hint="eastAsia"/>
                <w:szCs w:val="21"/>
              </w:rPr>
              <w:t>优得2分，良得1分，差或不提供不得分</w:t>
            </w:r>
            <w:r>
              <w:rPr>
                <w:rFonts w:hint="eastAsia" w:ascii="宋体" w:hAnsi="宋体"/>
                <w:szCs w:val="21"/>
              </w:rPr>
              <w:t>。</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5"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培训、试运行和验收（2分）</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szCs w:val="21"/>
              </w:rPr>
            </w:pPr>
            <w:r>
              <w:rPr>
                <w:rFonts w:hint="eastAsia" w:ascii="宋体" w:hAnsi="宋体"/>
                <w:szCs w:val="21"/>
              </w:rPr>
              <w:t>1、投标人提出培训计划、地点、组织、培训方案</w:t>
            </w:r>
            <w:r>
              <w:rPr>
                <w:rFonts w:hint="eastAsia" w:ascii="宋体" w:hAnsi="宋体"/>
                <w:color w:val="000000"/>
                <w:szCs w:val="21"/>
              </w:rPr>
              <w:t>等内容是否完整、科学合理：1分。</w:t>
            </w:r>
          </w:p>
          <w:p>
            <w:pPr>
              <w:spacing w:line="400" w:lineRule="exact"/>
              <w:rPr>
                <w:rFonts w:ascii="宋体" w:hAnsi="宋体"/>
                <w:szCs w:val="21"/>
              </w:rPr>
            </w:pPr>
            <w:r>
              <w:rPr>
                <w:rFonts w:hint="eastAsia" w:ascii="宋体" w:hAnsi="宋体"/>
                <w:szCs w:val="21"/>
              </w:rPr>
              <w:t>2、投标人提供的售后服务方案、维护人员和机构等情况，是否具备售后服务热线，服务承诺的可行性、完整性以及服务承诺落实的保障措施，质保期内外的后续技术支持和维护能力情况等，</w:t>
            </w:r>
            <w:r>
              <w:rPr>
                <w:rFonts w:hint="eastAsia"/>
                <w:szCs w:val="21"/>
              </w:rPr>
              <w:t>优得1分，良得0.5分，差或不提供不得分。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jc w:val="center"/>
        </w:trPr>
        <w:tc>
          <w:tcPr>
            <w:tcW w:w="8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szCs w:val="21"/>
              </w:rPr>
            </w:pPr>
            <w:r>
              <w:rPr>
                <w:rFonts w:hint="eastAsia" w:ascii="宋体" w:hAnsi="宋体"/>
                <w:szCs w:val="21"/>
              </w:rPr>
              <w:t>质量保证措施情况（2分）</w:t>
            </w:r>
          </w:p>
        </w:tc>
        <w:tc>
          <w:tcPr>
            <w:tcW w:w="708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hAnsi="宋体"/>
                <w:szCs w:val="21"/>
              </w:rPr>
              <w:t>免费质保期：壹年</w:t>
            </w:r>
            <w:r>
              <w:rPr>
                <w:rFonts w:hint="eastAsia" w:ascii="宋体" w:hAnsi="宋体"/>
                <w:szCs w:val="21"/>
              </w:rPr>
              <w:t>，在此基础上每延长一年加1分，最多加2分。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bl>
    <w:p/>
    <w:tbl>
      <w:tblPr>
        <w:tblStyle w:val="41"/>
        <w:tblW w:w="9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2"/>
        <w:gridCol w:w="904"/>
        <w:gridCol w:w="230"/>
        <w:gridCol w:w="5958"/>
        <w:gridCol w:w="1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szCs w:val="21"/>
              </w:rPr>
            </w:pPr>
            <w:r>
              <w:rPr>
                <w:rFonts w:hint="eastAsia" w:ascii="宋体" w:hAnsi="宋体"/>
                <w:szCs w:val="21"/>
              </w:rPr>
              <w:t>技术</w:t>
            </w:r>
          </w:p>
          <w:p>
            <w:pPr>
              <w:widowControl/>
              <w:spacing w:line="400" w:lineRule="exact"/>
              <w:jc w:val="center"/>
              <w:rPr>
                <w:rFonts w:ascii="宋体" w:hAnsi="宋体"/>
                <w:szCs w:val="21"/>
              </w:rPr>
            </w:pPr>
            <w:r>
              <w:rPr>
                <w:rFonts w:hint="eastAsia" w:ascii="宋体" w:hAnsi="宋体"/>
                <w:szCs w:val="21"/>
              </w:rPr>
              <w:t>部分</w:t>
            </w:r>
          </w:p>
          <w:p>
            <w:pPr>
              <w:widowControl/>
              <w:spacing w:line="400" w:lineRule="exact"/>
              <w:jc w:val="center"/>
              <w:rPr>
                <w:rFonts w:ascii="宋体" w:hAnsi="宋体"/>
                <w:szCs w:val="21"/>
              </w:rPr>
            </w:pPr>
            <w:r>
              <w:rPr>
                <w:rFonts w:hint="eastAsia" w:ascii="宋体" w:hAnsi="宋体"/>
                <w:szCs w:val="21"/>
              </w:rPr>
              <w:t>（35分）</w:t>
            </w:r>
          </w:p>
        </w:tc>
        <w:tc>
          <w:tcPr>
            <w:tcW w:w="992" w:type="dxa"/>
            <w:vMerge w:val="restart"/>
            <w:tcBorders>
              <w:top w:val="single" w:color="auto" w:sz="4" w:space="0"/>
              <w:left w:val="single" w:color="auto" w:sz="4" w:space="0"/>
              <w:right w:val="single" w:color="auto" w:sz="4" w:space="0"/>
            </w:tcBorders>
            <w:vAlign w:val="center"/>
          </w:tcPr>
          <w:p>
            <w:pPr>
              <w:tabs>
                <w:tab w:val="left" w:pos="3165"/>
              </w:tabs>
              <w:spacing w:line="400" w:lineRule="exact"/>
              <w:rPr>
                <w:rFonts w:ascii="宋体" w:hAnsi="宋体"/>
                <w:szCs w:val="21"/>
              </w:rPr>
            </w:pPr>
            <w:r>
              <w:rPr>
                <w:rFonts w:hint="eastAsia" w:ascii="宋体" w:hAnsi="宋体"/>
                <w:szCs w:val="21"/>
              </w:rPr>
              <w:t>投标产品的性能与需求的吻合程度（29分）</w:t>
            </w:r>
          </w:p>
        </w:tc>
        <w:tc>
          <w:tcPr>
            <w:tcW w:w="7092" w:type="dxa"/>
            <w:gridSpan w:val="3"/>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left"/>
              <w:rPr>
                <w:rFonts w:ascii="宋体" w:hAnsi="宋体"/>
                <w:color w:val="000000"/>
                <w:szCs w:val="21"/>
              </w:rPr>
            </w:pPr>
            <w:r>
              <w:rPr>
                <w:rFonts w:hint="eastAsia" w:ascii="宋体" w:hAnsi="宋体"/>
                <w:szCs w:val="21"/>
              </w:rPr>
              <w:t>1、所有带“▲”项均为关键需求。投标设备完全满足关键需求的得17分，</w:t>
            </w:r>
            <w:r>
              <w:rPr>
                <w:rFonts w:hint="eastAsia" w:ascii="宋体" w:hAnsi="宋体"/>
                <w:color w:val="000000"/>
                <w:szCs w:val="21"/>
              </w:rPr>
              <w:t>不提供不得分；具体内容详见第六章项目需求，评审标准如下：</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spacing w:line="400" w:lineRule="exact"/>
              <w:jc w:val="center"/>
              <w:rPr>
                <w:rFonts w:ascii="宋体" w:hAnsi="宋体"/>
                <w:szCs w:val="21"/>
              </w:rPr>
            </w:pPr>
          </w:p>
        </w:tc>
        <w:tc>
          <w:tcPr>
            <w:tcW w:w="992" w:type="dxa"/>
            <w:vMerge w:val="continue"/>
            <w:tcBorders>
              <w:top w:val="single" w:color="auto" w:sz="4" w:space="0"/>
              <w:left w:val="single" w:color="auto" w:sz="4" w:space="0"/>
              <w:right w:val="single" w:color="auto" w:sz="4" w:space="0"/>
            </w:tcBorders>
            <w:vAlign w:val="center"/>
          </w:tcPr>
          <w:p>
            <w:pPr>
              <w:tabs>
                <w:tab w:val="left" w:pos="3165"/>
              </w:tabs>
              <w:spacing w:line="400" w:lineRule="exact"/>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center"/>
              <w:rPr>
                <w:rFonts w:ascii="宋体" w:hAnsi="宋体"/>
                <w:szCs w:val="21"/>
              </w:rPr>
            </w:pPr>
            <w:r>
              <w:rPr>
                <w:rFonts w:hint="eastAsia" w:ascii="宋体" w:hAnsi="宋体"/>
                <w:szCs w:val="21"/>
              </w:rPr>
              <w:t>教师用生物数码显微镜（5分）</w:t>
            </w:r>
          </w:p>
        </w:tc>
        <w:tc>
          <w:tcPr>
            <w:tcW w:w="595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Cs w:val="21"/>
              </w:rPr>
            </w:pPr>
            <w:r>
              <w:rPr>
                <w:rFonts w:hint="eastAsia" w:ascii="宋体" w:hAnsi="宋体"/>
                <w:szCs w:val="21"/>
              </w:rPr>
              <w:t>▲1.相关控制软件是正版软件，</w:t>
            </w:r>
            <w:r>
              <w:rPr>
                <w:rFonts w:hint="eastAsia" w:ascii="宋体" w:hAnsi="宋体"/>
                <w:b/>
                <w:bCs/>
                <w:szCs w:val="21"/>
              </w:rPr>
              <w:t>提供软件著作权证书复印件</w:t>
            </w:r>
            <w:r>
              <w:rPr>
                <w:rFonts w:hint="eastAsia" w:ascii="宋体" w:hAnsi="宋体"/>
                <w:b/>
                <w:bCs/>
                <w:szCs w:val="21"/>
                <w:lang w:val="en-US" w:eastAsia="zh-CN"/>
              </w:rPr>
              <w:t>加盖投标单位公章</w:t>
            </w:r>
            <w:r>
              <w:rPr>
                <w:rFonts w:hint="eastAsia" w:ascii="宋体" w:hAnsi="宋体"/>
                <w:szCs w:val="21"/>
              </w:rPr>
              <w:t>。（1分）</w:t>
            </w:r>
            <w:r>
              <w:rPr>
                <w:rFonts w:hint="eastAsia" w:ascii="宋体" w:hAnsi="宋体"/>
                <w:szCs w:val="21"/>
              </w:rPr>
              <w:br w:type="textWrapping"/>
            </w:r>
            <w:r>
              <w:rPr>
                <w:rFonts w:hint="eastAsia" w:ascii="宋体" w:hAnsi="宋体"/>
                <w:szCs w:val="21"/>
              </w:rPr>
              <w:t>▲2.通过ISO9001、ISO13485、ISO14001、OHSAS18001体系认证。</w:t>
            </w:r>
            <w:r>
              <w:rPr>
                <w:rFonts w:hint="eastAsia" w:ascii="宋体" w:hAnsi="宋体"/>
                <w:b/>
                <w:bCs/>
                <w:szCs w:val="21"/>
              </w:rPr>
              <w:t>（须提供相关证书复印件，每项得 0.25分，最高得1分）</w:t>
            </w:r>
            <w:r>
              <w:rPr>
                <w:rFonts w:hint="eastAsia" w:ascii="宋体" w:hAnsi="宋体"/>
                <w:b/>
                <w:bCs/>
                <w:szCs w:val="21"/>
              </w:rPr>
              <w:br w:type="textWrapping"/>
            </w:r>
            <w:r>
              <w:rPr>
                <w:rFonts w:hint="eastAsia" w:ascii="宋体" w:hAnsi="宋体"/>
                <w:szCs w:val="21"/>
              </w:rPr>
              <w:t>▲3.所采用零部件和生产过程，需对有害物质过程管理进行严格控制，符合中华人民共和国《电器电子产品有害物质限制使用管理办法》（令第32号）的要求，提供IECQ符合性证书。</w:t>
            </w:r>
            <w:r>
              <w:rPr>
                <w:rFonts w:hint="eastAsia" w:ascii="宋体" w:hAnsi="宋体"/>
                <w:b/>
                <w:bCs/>
                <w:szCs w:val="21"/>
                <w:lang w:val="en-US" w:eastAsia="zh-CN"/>
              </w:rPr>
              <w:t>复印件</w:t>
            </w:r>
            <w:r>
              <w:rPr>
                <w:rFonts w:hint="eastAsia" w:ascii="宋体" w:hAnsi="宋体"/>
                <w:b/>
                <w:bCs/>
                <w:szCs w:val="21"/>
              </w:rPr>
              <w:t>加盖</w:t>
            </w:r>
            <w:r>
              <w:rPr>
                <w:rFonts w:hint="eastAsia" w:ascii="宋体" w:hAnsi="宋体"/>
                <w:b/>
                <w:bCs/>
                <w:szCs w:val="21"/>
                <w:lang w:val="en-US" w:eastAsia="zh-CN"/>
              </w:rPr>
              <w:t>原</w:t>
            </w:r>
            <w:r>
              <w:rPr>
                <w:rFonts w:hint="eastAsia" w:ascii="宋体" w:hAnsi="宋体"/>
                <w:b/>
                <w:bCs/>
                <w:szCs w:val="21"/>
              </w:rPr>
              <w:t>厂家公章</w:t>
            </w:r>
            <w:r>
              <w:rPr>
                <w:rFonts w:hint="eastAsia" w:ascii="宋体" w:hAnsi="宋体"/>
                <w:szCs w:val="21"/>
              </w:rPr>
              <w:t>（1.5分）</w:t>
            </w:r>
            <w:r>
              <w:rPr>
                <w:rFonts w:hint="eastAsia" w:ascii="宋体" w:hAnsi="宋体"/>
                <w:szCs w:val="21"/>
              </w:rPr>
              <w:br w:type="textWrapping"/>
            </w:r>
            <w:r>
              <w:rPr>
                <w:rFonts w:hint="eastAsia" w:ascii="宋体" w:hAnsi="宋体"/>
                <w:szCs w:val="21"/>
              </w:rPr>
              <w:t>▲4．提供</w:t>
            </w:r>
            <w:r>
              <w:rPr>
                <w:rFonts w:hint="eastAsia"/>
              </w:rPr>
              <w:t>检测机构</w:t>
            </w:r>
            <w:r>
              <w:rPr>
                <w:rFonts w:hint="eastAsia" w:ascii="宋体" w:hAnsi="宋体"/>
                <w:szCs w:val="21"/>
              </w:rPr>
              <w:t>出具的显微镜检测报告</w:t>
            </w:r>
            <w:r>
              <w:rPr>
                <w:rFonts w:hint="eastAsia" w:ascii="宋体" w:hAnsi="宋体"/>
                <w:b/>
                <w:bCs/>
                <w:szCs w:val="21"/>
              </w:rPr>
              <w:t>复印件加盖厂家公章</w:t>
            </w:r>
            <w:r>
              <w:rPr>
                <w:rFonts w:hint="eastAsia" w:ascii="宋体" w:hAnsi="宋体"/>
                <w:b w:val="0"/>
                <w:bCs w:val="0"/>
                <w:szCs w:val="21"/>
              </w:rPr>
              <w:t>证明</w:t>
            </w:r>
            <w:r>
              <w:rPr>
                <w:rFonts w:hint="eastAsia" w:ascii="宋体" w:hAnsi="宋体"/>
                <w:szCs w:val="21"/>
              </w:rPr>
              <w:t>相关参数（1.5分）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spacing w:line="400" w:lineRule="exact"/>
              <w:jc w:val="center"/>
              <w:rPr>
                <w:rFonts w:ascii="宋体" w:hAnsi="宋体"/>
                <w:szCs w:val="21"/>
              </w:rPr>
            </w:pPr>
          </w:p>
        </w:tc>
        <w:tc>
          <w:tcPr>
            <w:tcW w:w="992" w:type="dxa"/>
            <w:vMerge w:val="continue"/>
            <w:tcBorders>
              <w:top w:val="single" w:color="auto" w:sz="4" w:space="0"/>
              <w:left w:val="single" w:color="auto" w:sz="4" w:space="0"/>
              <w:right w:val="single" w:color="auto" w:sz="4" w:space="0"/>
            </w:tcBorders>
            <w:vAlign w:val="center"/>
          </w:tcPr>
          <w:p>
            <w:pPr>
              <w:tabs>
                <w:tab w:val="left" w:pos="3165"/>
              </w:tabs>
              <w:spacing w:line="400" w:lineRule="exact"/>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center"/>
              <w:rPr>
                <w:rFonts w:ascii="宋体" w:hAnsi="宋体"/>
                <w:szCs w:val="21"/>
              </w:rPr>
            </w:pPr>
            <w:r>
              <w:rPr>
                <w:rFonts w:hint="eastAsia" w:ascii="宋体" w:hAnsi="宋体"/>
                <w:szCs w:val="21"/>
              </w:rPr>
              <w:t>数字切片教学系统（1分）</w:t>
            </w:r>
          </w:p>
        </w:tc>
        <w:tc>
          <w:tcPr>
            <w:tcW w:w="5958" w:type="dxa"/>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left"/>
              <w:rPr>
                <w:rFonts w:ascii="宋体" w:hAnsi="宋体"/>
                <w:szCs w:val="21"/>
              </w:rPr>
            </w:pPr>
            <w:r>
              <w:rPr>
                <w:rFonts w:hint="eastAsia" w:ascii="宋体" w:hAnsi="宋体"/>
                <w:szCs w:val="21"/>
              </w:rPr>
              <w:t>▲提供国家版权局的著作权证书，</w:t>
            </w:r>
            <w:r>
              <w:rPr>
                <w:rFonts w:hint="eastAsia" w:ascii="宋体" w:hAnsi="宋体"/>
                <w:b/>
                <w:bCs/>
                <w:szCs w:val="21"/>
                <w:lang w:val="en-US" w:eastAsia="zh-CN"/>
              </w:rPr>
              <w:t>复印件</w:t>
            </w:r>
            <w:r>
              <w:rPr>
                <w:rFonts w:hint="eastAsia" w:ascii="宋体" w:hAnsi="宋体"/>
                <w:b/>
                <w:bCs/>
                <w:szCs w:val="21"/>
              </w:rPr>
              <w:t>加盖</w:t>
            </w:r>
            <w:r>
              <w:rPr>
                <w:rFonts w:hint="eastAsia" w:ascii="宋体" w:hAnsi="宋体"/>
                <w:b/>
                <w:bCs/>
                <w:szCs w:val="21"/>
                <w:lang w:val="en-US" w:eastAsia="zh-CN"/>
              </w:rPr>
              <w:t>投标单位</w:t>
            </w:r>
            <w:r>
              <w:rPr>
                <w:rFonts w:hint="eastAsia" w:ascii="宋体" w:hAnsi="宋体"/>
                <w:b/>
                <w:bCs/>
                <w:szCs w:val="21"/>
              </w:rPr>
              <w:t>公章</w:t>
            </w:r>
            <w:r>
              <w:rPr>
                <w:rFonts w:hint="eastAsia" w:ascii="宋体" w:hAnsi="宋体"/>
                <w:szCs w:val="21"/>
              </w:rPr>
              <w:t>（1分）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spacing w:line="400" w:lineRule="exact"/>
              <w:jc w:val="center"/>
              <w:rPr>
                <w:rFonts w:ascii="宋体" w:hAnsi="宋体"/>
                <w:szCs w:val="21"/>
              </w:rPr>
            </w:pPr>
          </w:p>
        </w:tc>
        <w:tc>
          <w:tcPr>
            <w:tcW w:w="992" w:type="dxa"/>
            <w:vMerge w:val="continue"/>
            <w:tcBorders>
              <w:top w:val="single" w:color="auto" w:sz="4" w:space="0"/>
              <w:left w:val="single" w:color="auto" w:sz="4" w:space="0"/>
              <w:right w:val="single" w:color="auto" w:sz="4" w:space="0"/>
            </w:tcBorders>
            <w:vAlign w:val="center"/>
          </w:tcPr>
          <w:p>
            <w:pPr>
              <w:tabs>
                <w:tab w:val="left" w:pos="3165"/>
              </w:tabs>
              <w:spacing w:line="400" w:lineRule="exact"/>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center"/>
              <w:rPr>
                <w:rFonts w:ascii="宋体" w:hAnsi="宋体"/>
                <w:szCs w:val="21"/>
              </w:rPr>
            </w:pPr>
            <w:r>
              <w:rPr>
                <w:rFonts w:hint="eastAsia" w:ascii="宋体" w:hAnsi="宋体"/>
                <w:szCs w:val="21"/>
              </w:rPr>
              <w:t>专业课件系统（1分）</w:t>
            </w:r>
          </w:p>
        </w:tc>
        <w:tc>
          <w:tcPr>
            <w:tcW w:w="5958" w:type="dxa"/>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left"/>
              <w:rPr>
                <w:rFonts w:ascii="宋体" w:hAnsi="宋体"/>
                <w:szCs w:val="21"/>
              </w:rPr>
            </w:pPr>
            <w:r>
              <w:rPr>
                <w:rFonts w:hint="eastAsia" w:ascii="宋体" w:hAnsi="宋体"/>
                <w:szCs w:val="21"/>
              </w:rPr>
              <w:t>▲提供国家版权局的计算机软件著作权证书复印件，</w:t>
            </w:r>
            <w:r>
              <w:rPr>
                <w:rFonts w:hint="eastAsia" w:ascii="宋体" w:hAnsi="宋体"/>
                <w:b/>
                <w:bCs/>
                <w:szCs w:val="21"/>
                <w:lang w:val="en-US" w:eastAsia="zh-CN"/>
              </w:rPr>
              <w:t>复印件</w:t>
            </w:r>
            <w:r>
              <w:rPr>
                <w:rFonts w:hint="eastAsia" w:ascii="宋体" w:hAnsi="宋体"/>
                <w:b/>
                <w:bCs/>
                <w:szCs w:val="21"/>
              </w:rPr>
              <w:t>加盖</w:t>
            </w:r>
            <w:r>
              <w:rPr>
                <w:rFonts w:hint="eastAsia" w:ascii="宋体" w:hAnsi="宋体"/>
                <w:b/>
                <w:bCs/>
                <w:szCs w:val="21"/>
                <w:lang w:val="en-US" w:eastAsia="zh-CN"/>
              </w:rPr>
              <w:t>投标单位</w:t>
            </w:r>
            <w:r>
              <w:rPr>
                <w:rFonts w:hint="eastAsia" w:ascii="宋体" w:hAnsi="宋体"/>
                <w:b/>
                <w:bCs/>
                <w:szCs w:val="21"/>
              </w:rPr>
              <w:t>公章</w:t>
            </w:r>
            <w:r>
              <w:rPr>
                <w:rFonts w:hint="eastAsia" w:ascii="宋体" w:hAnsi="宋体"/>
                <w:szCs w:val="21"/>
              </w:rPr>
              <w:t>（1分）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spacing w:line="400" w:lineRule="exact"/>
              <w:jc w:val="center"/>
              <w:rPr>
                <w:rFonts w:ascii="宋体" w:hAnsi="宋体"/>
                <w:szCs w:val="21"/>
              </w:rPr>
            </w:pPr>
          </w:p>
        </w:tc>
        <w:tc>
          <w:tcPr>
            <w:tcW w:w="992" w:type="dxa"/>
            <w:vMerge w:val="continue"/>
            <w:tcBorders>
              <w:top w:val="single" w:color="auto" w:sz="4" w:space="0"/>
              <w:left w:val="single" w:color="auto" w:sz="4" w:space="0"/>
              <w:right w:val="single" w:color="auto" w:sz="4" w:space="0"/>
            </w:tcBorders>
            <w:vAlign w:val="center"/>
          </w:tcPr>
          <w:p>
            <w:pPr>
              <w:tabs>
                <w:tab w:val="left" w:pos="3165"/>
              </w:tabs>
              <w:spacing w:line="400" w:lineRule="exact"/>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center"/>
              <w:rPr>
                <w:rFonts w:ascii="宋体" w:hAnsi="宋体"/>
                <w:szCs w:val="21"/>
              </w:rPr>
            </w:pPr>
            <w:r>
              <w:rPr>
                <w:rFonts w:hint="eastAsia" w:ascii="宋体" w:hAnsi="宋体"/>
                <w:szCs w:val="21"/>
              </w:rPr>
              <w:t>数码互动控制软件（2分）</w:t>
            </w:r>
          </w:p>
        </w:tc>
        <w:tc>
          <w:tcPr>
            <w:tcW w:w="5958" w:type="dxa"/>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left"/>
              <w:rPr>
                <w:rFonts w:ascii="宋体" w:hAnsi="宋体"/>
                <w:szCs w:val="21"/>
              </w:rPr>
            </w:pPr>
            <w:r>
              <w:rPr>
                <w:rFonts w:hint="eastAsia" w:ascii="宋体" w:hAnsi="宋体"/>
                <w:szCs w:val="21"/>
              </w:rPr>
              <w:t>▲提供</w:t>
            </w:r>
            <w:r>
              <w:rPr>
                <w:rFonts w:hint="eastAsia"/>
              </w:rPr>
              <w:t>检测机构</w:t>
            </w:r>
            <w:r>
              <w:rPr>
                <w:rFonts w:hint="eastAsia" w:ascii="宋体" w:hAnsi="宋体"/>
                <w:szCs w:val="21"/>
              </w:rPr>
              <w:t>出具的数码显微互动系统检测报告复印件，</w:t>
            </w:r>
            <w:r>
              <w:rPr>
                <w:rFonts w:hint="eastAsia" w:ascii="宋体" w:hAnsi="宋体"/>
                <w:b/>
                <w:bCs/>
                <w:szCs w:val="21"/>
                <w:lang w:val="en-US" w:eastAsia="zh-CN"/>
              </w:rPr>
              <w:t>复印件</w:t>
            </w:r>
            <w:r>
              <w:rPr>
                <w:rFonts w:hint="eastAsia" w:ascii="宋体" w:hAnsi="宋体"/>
                <w:b/>
                <w:bCs/>
                <w:szCs w:val="21"/>
              </w:rPr>
              <w:t>加盖</w:t>
            </w:r>
            <w:r>
              <w:rPr>
                <w:rFonts w:hint="eastAsia" w:ascii="宋体" w:hAnsi="宋体"/>
                <w:b/>
                <w:bCs/>
                <w:szCs w:val="21"/>
                <w:lang w:val="en-US" w:eastAsia="zh-CN"/>
              </w:rPr>
              <w:t>投标单位</w:t>
            </w:r>
            <w:r>
              <w:rPr>
                <w:rFonts w:hint="eastAsia" w:ascii="宋体" w:hAnsi="宋体"/>
                <w:b/>
                <w:bCs/>
                <w:szCs w:val="21"/>
              </w:rPr>
              <w:t>公章</w:t>
            </w:r>
            <w:r>
              <w:rPr>
                <w:rFonts w:hint="eastAsia" w:ascii="宋体" w:hAnsi="宋体"/>
                <w:szCs w:val="21"/>
              </w:rPr>
              <w:t>（2分）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spacing w:line="400" w:lineRule="exact"/>
              <w:jc w:val="center"/>
              <w:rPr>
                <w:rFonts w:ascii="宋体" w:hAnsi="宋体"/>
                <w:szCs w:val="21"/>
              </w:rPr>
            </w:pPr>
          </w:p>
        </w:tc>
        <w:tc>
          <w:tcPr>
            <w:tcW w:w="992" w:type="dxa"/>
            <w:vMerge w:val="continue"/>
            <w:tcBorders>
              <w:top w:val="single" w:color="auto" w:sz="4" w:space="0"/>
              <w:left w:val="single" w:color="auto" w:sz="4" w:space="0"/>
              <w:right w:val="single" w:color="auto" w:sz="4" w:space="0"/>
            </w:tcBorders>
            <w:vAlign w:val="center"/>
          </w:tcPr>
          <w:p>
            <w:pPr>
              <w:tabs>
                <w:tab w:val="left" w:pos="3165"/>
              </w:tabs>
              <w:spacing w:line="400" w:lineRule="exact"/>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center"/>
              <w:rPr>
                <w:rFonts w:ascii="宋体" w:hAnsi="宋体"/>
                <w:szCs w:val="21"/>
              </w:rPr>
            </w:pPr>
            <w:r>
              <w:rPr>
                <w:rFonts w:hint="eastAsia" w:ascii="宋体" w:hAnsi="宋体"/>
                <w:szCs w:val="21"/>
              </w:rPr>
              <w:t>教师端专业图像分析软件（1分）</w:t>
            </w:r>
          </w:p>
        </w:tc>
        <w:tc>
          <w:tcPr>
            <w:tcW w:w="5958" w:type="dxa"/>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left"/>
              <w:rPr>
                <w:rFonts w:ascii="宋体" w:hAnsi="宋体"/>
                <w:szCs w:val="21"/>
              </w:rPr>
            </w:pPr>
            <w:r>
              <w:rPr>
                <w:rFonts w:hint="eastAsia" w:ascii="宋体" w:hAnsi="宋体"/>
                <w:szCs w:val="21"/>
              </w:rPr>
              <w:t>▲</w:t>
            </w:r>
            <w:r>
              <w:rPr>
                <w:rFonts w:hint="eastAsia" w:ascii="宋体" w:hAnsi="宋体"/>
                <w:b/>
                <w:bCs/>
                <w:szCs w:val="21"/>
              </w:rPr>
              <w:t>提供由制造商盖章的“计算机软件著作权登记证书”复印件</w:t>
            </w:r>
            <w:r>
              <w:rPr>
                <w:rFonts w:hint="eastAsia" w:ascii="宋体" w:hAnsi="宋体"/>
                <w:szCs w:val="21"/>
              </w:rPr>
              <w:t>。（1分）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spacing w:line="400" w:lineRule="exact"/>
              <w:jc w:val="center"/>
              <w:rPr>
                <w:rFonts w:ascii="宋体" w:hAnsi="宋体"/>
                <w:szCs w:val="21"/>
              </w:rPr>
            </w:pPr>
          </w:p>
        </w:tc>
        <w:tc>
          <w:tcPr>
            <w:tcW w:w="992" w:type="dxa"/>
            <w:vMerge w:val="continue"/>
            <w:tcBorders>
              <w:top w:val="single" w:color="auto" w:sz="4" w:space="0"/>
              <w:left w:val="single" w:color="auto" w:sz="4" w:space="0"/>
              <w:right w:val="single" w:color="auto" w:sz="4" w:space="0"/>
            </w:tcBorders>
            <w:vAlign w:val="center"/>
          </w:tcPr>
          <w:p>
            <w:pPr>
              <w:tabs>
                <w:tab w:val="left" w:pos="3165"/>
              </w:tabs>
              <w:spacing w:line="400" w:lineRule="exact"/>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center"/>
              <w:rPr>
                <w:rFonts w:ascii="宋体" w:hAnsi="宋体"/>
                <w:szCs w:val="21"/>
              </w:rPr>
            </w:pPr>
            <w:r>
              <w:rPr>
                <w:rFonts w:hint="eastAsia" w:ascii="宋体" w:hAnsi="宋体"/>
                <w:szCs w:val="21"/>
              </w:rPr>
              <w:t>光照培养架及控时器（1分）</w:t>
            </w:r>
          </w:p>
        </w:tc>
        <w:tc>
          <w:tcPr>
            <w:tcW w:w="5958" w:type="dxa"/>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left"/>
              <w:rPr>
                <w:rFonts w:ascii="宋体" w:hAnsi="宋体"/>
                <w:szCs w:val="21"/>
              </w:rPr>
            </w:pPr>
            <w:r>
              <w:rPr>
                <w:rFonts w:hint="eastAsia" w:ascii="宋体" w:hAnsi="宋体"/>
                <w:szCs w:val="21"/>
              </w:rPr>
              <w:t>▲提供</w:t>
            </w:r>
            <w:r>
              <w:rPr>
                <w:rFonts w:hint="eastAsia"/>
              </w:rPr>
              <w:t>检测机构</w:t>
            </w:r>
            <w:r>
              <w:rPr>
                <w:rFonts w:hint="eastAsia" w:ascii="宋体" w:hAnsi="宋体"/>
                <w:szCs w:val="21"/>
              </w:rPr>
              <w:t>出具的检测报告</w:t>
            </w:r>
            <w:r>
              <w:rPr>
                <w:rFonts w:hint="eastAsia" w:ascii="宋体" w:hAnsi="宋体"/>
                <w:szCs w:val="21"/>
                <w:lang w:eastAsia="zh-CN"/>
              </w:rPr>
              <w:t>，</w:t>
            </w:r>
            <w:r>
              <w:rPr>
                <w:rFonts w:hint="eastAsia" w:ascii="宋体" w:hAnsi="宋体"/>
                <w:b/>
                <w:bCs/>
                <w:szCs w:val="21"/>
                <w:lang w:val="en-US" w:eastAsia="zh-CN"/>
              </w:rPr>
              <w:t>复印件加盖投标单位公章，原件须现场核查后有效</w:t>
            </w:r>
            <w:r>
              <w:rPr>
                <w:rFonts w:hint="eastAsia" w:ascii="宋体" w:hAnsi="宋体"/>
                <w:szCs w:val="21"/>
              </w:rPr>
              <w:t>（1分）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spacing w:line="400" w:lineRule="exact"/>
              <w:jc w:val="center"/>
              <w:rPr>
                <w:rFonts w:ascii="宋体" w:hAnsi="宋体"/>
                <w:szCs w:val="21"/>
              </w:rPr>
            </w:pPr>
          </w:p>
        </w:tc>
        <w:tc>
          <w:tcPr>
            <w:tcW w:w="992" w:type="dxa"/>
            <w:vMerge w:val="continue"/>
            <w:tcBorders>
              <w:top w:val="single" w:color="auto" w:sz="4" w:space="0"/>
              <w:left w:val="single" w:color="auto" w:sz="4" w:space="0"/>
              <w:right w:val="single" w:color="auto" w:sz="4" w:space="0"/>
            </w:tcBorders>
            <w:vAlign w:val="center"/>
          </w:tcPr>
          <w:p>
            <w:pPr>
              <w:tabs>
                <w:tab w:val="left" w:pos="3165"/>
              </w:tabs>
              <w:spacing w:line="400" w:lineRule="exact"/>
              <w:rPr>
                <w:rFonts w:ascii="宋体" w:hAnsi="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left"/>
              <w:rPr>
                <w:rFonts w:ascii="宋体" w:hAnsi="宋体"/>
                <w:szCs w:val="21"/>
              </w:rPr>
            </w:pPr>
            <w:r>
              <w:rPr>
                <w:rFonts w:hint="eastAsia" w:ascii="宋体" w:hAnsi="宋体"/>
                <w:szCs w:val="21"/>
              </w:rPr>
              <w:t>生物组培不间断实验台（陶瓷台面）（6分）</w:t>
            </w:r>
          </w:p>
        </w:tc>
        <w:tc>
          <w:tcPr>
            <w:tcW w:w="5958" w:type="dxa"/>
            <w:tcBorders>
              <w:top w:val="single" w:color="auto" w:sz="4" w:space="0"/>
              <w:left w:val="single" w:color="auto" w:sz="4" w:space="0"/>
              <w:bottom w:val="single" w:color="auto" w:sz="4" w:space="0"/>
              <w:right w:val="single" w:color="auto" w:sz="4" w:space="0"/>
            </w:tcBorders>
          </w:tcPr>
          <w:p>
            <w:pPr>
              <w:tabs>
                <w:tab w:val="left" w:pos="3165"/>
              </w:tabs>
              <w:spacing w:line="400" w:lineRule="exact"/>
              <w:jc w:val="left"/>
              <w:rPr>
                <w:rFonts w:hint="eastAsia" w:ascii="宋体" w:hAnsi="宋体"/>
                <w:szCs w:val="21"/>
              </w:rPr>
            </w:pPr>
            <w:r>
              <w:rPr>
                <w:rFonts w:hint="eastAsia" w:ascii="宋体" w:hAnsi="宋体"/>
                <w:szCs w:val="21"/>
              </w:rPr>
              <w:t>▲1、陶瓷台面耐高温性能：提供由</w:t>
            </w:r>
            <w:r>
              <w:rPr>
                <w:rFonts w:hint="eastAsia"/>
              </w:rPr>
              <w:t>检测机构</w:t>
            </w:r>
            <w:r>
              <w:rPr>
                <w:rFonts w:hint="eastAsia" w:ascii="宋体" w:hAnsi="宋体"/>
                <w:szCs w:val="21"/>
              </w:rPr>
              <w:t>出具参照国家标准的耐极限高温达到1500℃以上的检测报告。（1.5分）</w:t>
            </w:r>
            <w:r>
              <w:rPr>
                <w:rFonts w:hint="eastAsia" w:ascii="宋体" w:hAnsi="宋体"/>
                <w:szCs w:val="21"/>
              </w:rPr>
              <w:br w:type="textWrapping"/>
            </w:r>
            <w:r>
              <w:rPr>
                <w:rFonts w:hint="eastAsia" w:ascii="宋体" w:hAnsi="宋体"/>
                <w:szCs w:val="21"/>
              </w:rPr>
              <w:t>▲2、陶瓷台面放射性核素限量要求:</w:t>
            </w:r>
            <w:r>
              <w:rPr>
                <w:rFonts w:hint="eastAsia" w:ascii="宋体" w:hAnsi="宋体"/>
                <w:bCs/>
                <w:szCs w:val="21"/>
              </w:rPr>
              <w:t>提供</w:t>
            </w:r>
            <w:r>
              <w:rPr>
                <w:rFonts w:hint="eastAsia" w:ascii="宋体" w:hAnsi="宋体"/>
                <w:szCs w:val="21"/>
              </w:rPr>
              <w:t>由</w:t>
            </w:r>
            <w:r>
              <w:rPr>
                <w:rFonts w:hint="eastAsia"/>
              </w:rPr>
              <w:t>检测机构</w:t>
            </w:r>
            <w:r>
              <w:rPr>
                <w:rFonts w:hint="eastAsia" w:ascii="宋体" w:hAnsi="宋体"/>
                <w:szCs w:val="21"/>
              </w:rPr>
              <w:t>出具</w:t>
            </w:r>
            <w:r>
              <w:rPr>
                <w:rFonts w:hint="eastAsia" w:ascii="宋体" w:hAnsi="宋体"/>
                <w:bCs/>
                <w:szCs w:val="21"/>
              </w:rPr>
              <w:t>参照GB 6566-2010标准外照射指数≤0.9的检测报告。</w:t>
            </w:r>
            <w:r>
              <w:rPr>
                <w:rFonts w:hint="eastAsia" w:ascii="宋体" w:hAnsi="宋体"/>
                <w:szCs w:val="21"/>
              </w:rPr>
              <w:t>（1.5分）</w:t>
            </w:r>
            <w:r>
              <w:rPr>
                <w:rFonts w:hint="eastAsia" w:ascii="宋体" w:hAnsi="宋体"/>
                <w:szCs w:val="21"/>
              </w:rPr>
              <w:br w:type="textWrapping"/>
            </w:r>
            <w:r>
              <w:rPr>
                <w:rFonts w:hint="eastAsia" w:ascii="宋体" w:hAnsi="宋体"/>
                <w:szCs w:val="21"/>
              </w:rPr>
              <w:t>▲3、陶瓷台面耐化学腐蚀性：为确保性能的稳定性,</w:t>
            </w:r>
            <w:r>
              <w:rPr>
                <w:rFonts w:hint="eastAsia" w:ascii="宋体" w:hAnsi="宋体"/>
                <w:bCs/>
                <w:szCs w:val="21"/>
              </w:rPr>
              <w:t>须提供2016年和2017年连续两年</w:t>
            </w:r>
            <w:r>
              <w:rPr>
                <w:rFonts w:hint="eastAsia"/>
              </w:rPr>
              <w:t>检测机构</w:t>
            </w:r>
            <w:r>
              <w:rPr>
                <w:rFonts w:hint="eastAsia" w:ascii="宋体" w:hAnsi="宋体"/>
                <w:bCs/>
                <w:szCs w:val="21"/>
              </w:rPr>
              <w:t>出具的“耐化学/耐污染”的检测报告,</w:t>
            </w:r>
            <w:r>
              <w:rPr>
                <w:rFonts w:hint="eastAsia" w:ascii="宋体" w:hAnsi="宋体"/>
                <w:szCs w:val="21"/>
              </w:rPr>
              <w:t>参照SEFA3-2010科学设备及家具协会-实验室工作台面条款2.1台面检测标准，台面至少抗“47”种以上化学试剂且检测结果为0级（表面无变化）。（1.5分）</w:t>
            </w:r>
            <w:r>
              <w:rPr>
                <w:rFonts w:hint="eastAsia" w:ascii="宋体" w:hAnsi="宋体"/>
                <w:szCs w:val="21"/>
              </w:rPr>
              <w:br w:type="textWrapping"/>
            </w:r>
            <w:r>
              <w:rPr>
                <w:rFonts w:hint="eastAsia" w:ascii="宋体" w:hAnsi="宋体"/>
                <w:szCs w:val="21"/>
              </w:rPr>
              <w:t>▲4、陶瓷台面抗菌性能：提供由</w:t>
            </w:r>
            <w:r>
              <w:rPr>
                <w:rFonts w:hint="eastAsia"/>
              </w:rPr>
              <w:t>检测机构</w:t>
            </w:r>
            <w:r>
              <w:rPr>
                <w:rFonts w:hint="eastAsia" w:ascii="宋体" w:hAnsi="宋体"/>
                <w:szCs w:val="21"/>
              </w:rPr>
              <w:t>出具陶瓷台面表面不吸附细菌，肺炎克雷伯氏菌抗菌率≥99.13、大肠杆菌抗菌率≥99.13的</w:t>
            </w:r>
            <w:r>
              <w:rPr>
                <w:rFonts w:hint="eastAsia" w:ascii="宋体" w:hAnsi="宋体"/>
                <w:bCs/>
                <w:szCs w:val="21"/>
              </w:rPr>
              <w:t>检测报告</w:t>
            </w:r>
            <w:r>
              <w:rPr>
                <w:rFonts w:hint="eastAsia" w:ascii="宋体" w:hAnsi="宋体"/>
                <w:szCs w:val="21"/>
              </w:rPr>
              <w:t>。（1.5分）</w:t>
            </w:r>
          </w:p>
          <w:p>
            <w:pPr>
              <w:tabs>
                <w:tab w:val="left" w:pos="3165"/>
              </w:tabs>
              <w:spacing w:line="400" w:lineRule="exact"/>
              <w:jc w:val="left"/>
              <w:rPr>
                <w:rFonts w:hint="eastAsia" w:ascii="宋体" w:hAnsi="宋体" w:eastAsia="宋体"/>
                <w:szCs w:val="21"/>
                <w:lang w:val="en-US" w:eastAsia="zh-CN"/>
              </w:rPr>
            </w:pPr>
            <w:r>
              <w:rPr>
                <w:rFonts w:hint="eastAsia" w:ascii="宋体" w:hAnsi="宋体"/>
                <w:b/>
                <w:bCs/>
                <w:szCs w:val="21"/>
                <w:lang w:val="en-US" w:eastAsia="zh-CN"/>
              </w:rPr>
              <w:t>注：以上检测报告须提供复印件，原件须现场核查后有效</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spacing w:line="400" w:lineRule="exact"/>
              <w:jc w:val="center"/>
              <w:rPr>
                <w:rFonts w:ascii="宋体" w:hAnsi="宋体"/>
                <w:szCs w:val="21"/>
              </w:rPr>
            </w:pPr>
          </w:p>
        </w:tc>
        <w:tc>
          <w:tcPr>
            <w:tcW w:w="992" w:type="dxa"/>
            <w:vMerge w:val="continue"/>
            <w:tcBorders>
              <w:left w:val="single" w:color="auto" w:sz="4" w:space="0"/>
              <w:bottom w:val="single" w:color="auto" w:sz="4" w:space="0"/>
              <w:right w:val="single" w:color="auto" w:sz="4" w:space="0"/>
            </w:tcBorders>
            <w:vAlign w:val="center"/>
          </w:tcPr>
          <w:p>
            <w:pPr>
              <w:tabs>
                <w:tab w:val="left" w:pos="3165"/>
              </w:tabs>
              <w:spacing w:line="400" w:lineRule="exact"/>
              <w:rPr>
                <w:rFonts w:ascii="宋体" w:hAnsi="宋体"/>
                <w:szCs w:val="21"/>
              </w:rPr>
            </w:pPr>
          </w:p>
        </w:tc>
        <w:tc>
          <w:tcPr>
            <w:tcW w:w="7092" w:type="dxa"/>
            <w:gridSpan w:val="3"/>
            <w:tcBorders>
              <w:top w:val="single" w:color="auto" w:sz="4" w:space="0"/>
              <w:left w:val="single" w:color="auto" w:sz="4" w:space="0"/>
              <w:bottom w:val="single" w:color="auto" w:sz="4" w:space="0"/>
              <w:right w:val="single" w:color="auto" w:sz="4" w:space="0"/>
            </w:tcBorders>
            <w:vAlign w:val="center"/>
          </w:tcPr>
          <w:p>
            <w:pPr>
              <w:tabs>
                <w:tab w:val="left" w:pos="3165"/>
              </w:tabs>
              <w:spacing w:line="400" w:lineRule="exact"/>
              <w:jc w:val="left"/>
              <w:rPr>
                <w:rFonts w:ascii="宋体" w:hAnsi="宋体"/>
                <w:szCs w:val="21"/>
              </w:rPr>
            </w:pPr>
            <w:r>
              <w:rPr>
                <w:rFonts w:hint="eastAsia" w:ascii="宋体" w:hAnsi="宋体"/>
                <w:color w:val="000000"/>
                <w:szCs w:val="21"/>
              </w:rPr>
              <w:t>2、</w:t>
            </w:r>
            <w:r>
              <w:rPr>
                <w:rFonts w:hint="eastAsia" w:ascii="宋体" w:hAnsi="宋体"/>
                <w:szCs w:val="21"/>
              </w:rPr>
              <w:t>产品带“●”参数为</w:t>
            </w:r>
            <w:r>
              <w:rPr>
                <w:rFonts w:hint="eastAsia"/>
              </w:rPr>
              <w:t>重要需求</w:t>
            </w:r>
            <w:r>
              <w:rPr>
                <w:rFonts w:hint="eastAsia" w:ascii="宋体" w:hAnsi="宋体"/>
                <w:szCs w:val="21"/>
              </w:rPr>
              <w:t>，</w:t>
            </w:r>
            <w:r>
              <w:rPr>
                <w:rFonts w:hint="eastAsia"/>
              </w:rPr>
              <w:t>投标产品的参数与需求的吻合程度和偏差情况（包括所投标产品的规格、详细配置、主要技术参数、随机软件等），是否能够满足招标文件要求等。完全满足或优于招标文件技术要求得</w:t>
            </w:r>
            <w:r>
              <w:rPr>
                <w:rFonts w:hint="eastAsia" w:ascii="宋体" w:hAnsi="宋体"/>
                <w:color w:val="000000"/>
                <w:szCs w:val="21"/>
              </w:rPr>
              <w:t>12分</w:t>
            </w:r>
            <w:r>
              <w:rPr>
                <w:rFonts w:hint="eastAsia" w:ascii="宋体" w:hAnsi="宋体"/>
                <w:szCs w:val="21"/>
              </w:rPr>
              <w:t>产品</w:t>
            </w:r>
            <w:r>
              <w:rPr>
                <w:rFonts w:hint="eastAsia" w:ascii="宋体" w:hAnsi="宋体"/>
                <w:color w:val="000000"/>
                <w:szCs w:val="21"/>
              </w:rPr>
              <w:t>；</w:t>
            </w:r>
            <w:r>
              <w:rPr>
                <w:rFonts w:hint="eastAsia" w:ascii="宋体" w:hAnsi="宋体"/>
                <w:color w:val="000000"/>
              </w:rPr>
              <w:t>技术指标每有一项负偏离扣2分</w:t>
            </w:r>
            <w:r>
              <w:rPr>
                <w:rFonts w:ascii="宋体" w:hAnsi="宋体"/>
                <w:color w:val="000000"/>
              </w:rPr>
              <w:t>,</w:t>
            </w:r>
            <w:r>
              <w:rPr>
                <w:rFonts w:hint="eastAsia" w:ascii="宋体" w:hAnsi="宋体"/>
                <w:color w:val="000000"/>
              </w:rPr>
              <w:t>扣完为止；</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投标方案的科学性和完整性（3分）</w:t>
            </w:r>
          </w:p>
        </w:tc>
        <w:tc>
          <w:tcPr>
            <w:tcW w:w="70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结合投标方案总体设计、建设方案和空间规划方案（含平面布置图及概念效果图）等，提出具体可行的布局规划，充分考虑用户实际使用需求，由评委横向比较，</w:t>
            </w:r>
            <w:r>
              <w:rPr>
                <w:rFonts w:hint="eastAsia"/>
                <w:szCs w:val="21"/>
              </w:rPr>
              <w:t>优得3分，良得2分，一般得1分</w:t>
            </w:r>
            <w:r>
              <w:rPr>
                <w:rFonts w:hint="eastAsia" w:ascii="宋体" w:hAnsi="宋体"/>
                <w:szCs w:val="21"/>
              </w:rPr>
              <w:t>。</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项目实施方案（3分）</w:t>
            </w:r>
          </w:p>
        </w:tc>
        <w:tc>
          <w:tcPr>
            <w:tcW w:w="7092"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投标人组织实施方案的科学性、合理性、规范性和可操作性，以及组织机构、项目进度表、工作程序和步骤、管理和协调方法、关键步骤的思路和要点等，由评委根据各投标单位所投方案横向比较后，优秀得3分，良好得2分，一般得1分，不提供不得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tcBorders>
              <w:top w:val="single" w:color="auto" w:sz="4" w:space="0"/>
              <w:left w:val="single" w:color="auto" w:sz="4" w:space="0"/>
              <w:right w:val="single" w:color="auto" w:sz="4" w:space="0"/>
            </w:tcBorders>
            <w:vAlign w:val="center"/>
          </w:tcPr>
          <w:p>
            <w:pPr>
              <w:widowControl/>
              <w:jc w:val="left"/>
              <w:rPr>
                <w:rFonts w:ascii="宋体" w:hAnsi="宋体"/>
                <w:szCs w:val="21"/>
              </w:rPr>
            </w:pPr>
            <w:r>
              <w:rPr>
                <w:rFonts w:hint="eastAsia" w:ascii="宋体" w:hAnsi="宋体"/>
                <w:szCs w:val="21"/>
              </w:rPr>
              <w:t>样品分（15分）</w:t>
            </w:r>
          </w:p>
        </w:tc>
        <w:tc>
          <w:tcPr>
            <w:tcW w:w="8084" w:type="dxa"/>
            <w:gridSpan w:val="4"/>
            <w:tcBorders>
              <w:top w:val="single" w:color="auto" w:sz="4" w:space="0"/>
              <w:left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评审依据：结合样品现场演示及功能实现情况，评委根据投标单位所提供的产品与项目需求的吻合程度以及偏差情况综合评分，</w:t>
            </w:r>
          </w:p>
          <w:p>
            <w:pPr>
              <w:spacing w:line="400" w:lineRule="exact"/>
              <w:rPr>
                <w:rFonts w:ascii="宋体" w:hAnsi="宋体"/>
                <w:szCs w:val="21"/>
              </w:rPr>
            </w:pPr>
            <w:r>
              <w:rPr>
                <w:rFonts w:hint="eastAsia" w:ascii="宋体" w:hAnsi="宋体"/>
                <w:szCs w:val="21"/>
              </w:rPr>
              <w:t>缺一个样品扣3分，扣完为止。</w:t>
            </w:r>
          </w:p>
          <w:p>
            <w:pPr>
              <w:spacing w:line="400" w:lineRule="exact"/>
              <w:rPr>
                <w:rFonts w:ascii="宋体" w:hAnsi="宋体"/>
                <w:color w:val="000000"/>
                <w:szCs w:val="21"/>
              </w:rPr>
            </w:pPr>
            <w:r>
              <w:rPr>
                <w:rFonts w:hint="eastAsia" w:ascii="宋体" w:hAnsi="宋体"/>
                <w:color w:val="000000"/>
                <w:szCs w:val="21"/>
              </w:rPr>
              <w:t>样品演示过程中为完成实验所配套的器材由投标单位自行准备。</w:t>
            </w:r>
          </w:p>
          <w:p>
            <w:pPr>
              <w:spacing w:line="400" w:lineRule="exact"/>
              <w:rPr>
                <w:rFonts w:ascii="宋体" w:hAnsi="宋体" w:cs="宋体"/>
                <w:color w:val="000000"/>
                <w:kern w:val="0"/>
                <w:szCs w:val="21"/>
              </w:rPr>
            </w:pPr>
            <w:r>
              <w:rPr>
                <w:rFonts w:hint="eastAsia" w:ascii="宋体" w:hAnsi="宋体" w:cs="宋体"/>
                <w:color w:val="000000"/>
                <w:kern w:val="0"/>
                <w:szCs w:val="21"/>
              </w:rPr>
              <w:t>样品制作及</w:t>
            </w:r>
            <w:r>
              <w:rPr>
                <w:rFonts w:hint="eastAsia" w:ascii="宋体" w:hAnsi="宋体"/>
                <w:szCs w:val="21"/>
              </w:rPr>
              <w:t>评审标准如下：</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restart"/>
            <w:tcBorders>
              <w:left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样品类型</w:t>
            </w:r>
          </w:p>
        </w:tc>
        <w:tc>
          <w:tcPr>
            <w:tcW w:w="904" w:type="dxa"/>
            <w:tcBorders>
              <w:top w:val="single" w:color="auto" w:sz="4" w:space="0"/>
              <w:left w:val="single" w:color="auto" w:sz="4" w:space="0"/>
              <w:bottom w:val="single" w:color="auto" w:sz="4" w:space="0"/>
              <w:right w:val="single" w:color="auto" w:sz="4" w:space="0"/>
            </w:tcBorders>
            <w:vAlign w:val="center"/>
          </w:tcPr>
          <w:p>
            <w:pPr>
              <w:tabs>
                <w:tab w:val="left" w:pos="424"/>
                <w:tab w:val="center" w:pos="3496"/>
              </w:tabs>
              <w:spacing w:line="400" w:lineRule="exact"/>
              <w:jc w:val="left"/>
              <w:rPr>
                <w:rFonts w:ascii="宋体" w:hAnsi="宋体" w:cs="宋体"/>
                <w:color w:val="000000"/>
                <w:kern w:val="0"/>
                <w:szCs w:val="21"/>
              </w:rPr>
            </w:pPr>
            <w:r>
              <w:rPr>
                <w:rFonts w:hint="eastAsia"/>
                <w:color w:val="000000"/>
                <w:szCs w:val="21"/>
              </w:rPr>
              <w:t>样品名称</w:t>
            </w:r>
            <w:r>
              <w:rPr>
                <w:rFonts w:hint="eastAsia"/>
                <w:color w:val="000000"/>
                <w:szCs w:val="21"/>
              </w:rPr>
              <w:tab/>
            </w:r>
            <w:r>
              <w:rPr>
                <w:rFonts w:hint="eastAsia"/>
                <w:color w:val="000000"/>
                <w:szCs w:val="21"/>
              </w:rPr>
              <w:tab/>
            </w:r>
            <w:r>
              <w:rPr>
                <w:rFonts w:hint="eastAsia"/>
                <w:color w:val="000000"/>
                <w:szCs w:val="21"/>
              </w:rPr>
              <w:t>样品制作标准和实验演示要求</w:t>
            </w:r>
          </w:p>
        </w:tc>
        <w:tc>
          <w:tcPr>
            <w:tcW w:w="6188" w:type="dxa"/>
            <w:gridSpan w:val="2"/>
            <w:tcBorders>
              <w:top w:val="single" w:color="auto" w:sz="4" w:space="0"/>
              <w:left w:val="single" w:color="auto" w:sz="4" w:space="0"/>
              <w:bottom w:val="single" w:color="auto" w:sz="4" w:space="0"/>
              <w:right w:val="single" w:color="auto" w:sz="4" w:space="0"/>
            </w:tcBorders>
            <w:vAlign w:val="center"/>
          </w:tcPr>
          <w:p>
            <w:pPr>
              <w:tabs>
                <w:tab w:val="left" w:pos="424"/>
                <w:tab w:val="center" w:pos="3496"/>
              </w:tabs>
              <w:spacing w:line="400" w:lineRule="exact"/>
              <w:jc w:val="center"/>
              <w:rPr>
                <w:color w:val="000000"/>
                <w:szCs w:val="21"/>
              </w:rPr>
            </w:pPr>
            <w:r>
              <w:rPr>
                <w:rFonts w:hint="eastAsia"/>
                <w:color w:val="000000"/>
                <w:szCs w:val="21"/>
              </w:rPr>
              <w:t>样品制作标准和实验演示要求</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tcBorders>
              <w:top w:val="single" w:color="auto" w:sz="4" w:space="0"/>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展示类样品(3分）</w:t>
            </w:r>
          </w:p>
        </w:tc>
        <w:tc>
          <w:tcPr>
            <w:tcW w:w="90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cs="宋体"/>
                <w:color w:val="000000"/>
                <w:kern w:val="0"/>
                <w:szCs w:val="21"/>
              </w:rPr>
              <w:t>不间断实验台（3分）</w:t>
            </w:r>
          </w:p>
        </w:tc>
        <w:tc>
          <w:tcPr>
            <w:tcW w:w="618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kern w:val="0"/>
                <w:szCs w:val="21"/>
              </w:rPr>
            </w:pPr>
            <w:r>
              <w:rPr>
                <w:rFonts w:hint="eastAsia" w:ascii="宋体" w:hAnsi="宋体" w:cs="宋体"/>
                <w:color w:val="000000"/>
                <w:kern w:val="0"/>
                <w:szCs w:val="21"/>
              </w:rPr>
              <w:t>样品标准：</w:t>
            </w:r>
          </w:p>
          <w:p>
            <w:pPr>
              <w:rPr>
                <w:rFonts w:ascii="宋体" w:hAnsi="宋体" w:cs="宋体"/>
                <w:color w:val="000000"/>
                <w:kern w:val="0"/>
                <w:szCs w:val="21"/>
              </w:rPr>
            </w:pPr>
            <w:r>
              <w:rPr>
                <w:rFonts w:hint="eastAsia" w:ascii="宋体" w:hAnsi="宋体" w:cs="宋体"/>
                <w:color w:val="000000"/>
                <w:kern w:val="0"/>
                <w:szCs w:val="21"/>
              </w:rPr>
              <w:t>1.不间断实验台规格：</w:t>
            </w:r>
            <w:r>
              <w:rPr>
                <w:rFonts w:hint="eastAsia" w:ascii="宋体" w:hAnsi="宋体" w:cs="宋体"/>
                <w:color w:val="000000"/>
                <w:kern w:val="0"/>
                <w:szCs w:val="21"/>
                <w:lang w:eastAsia="zh-CN"/>
              </w:rPr>
              <w:t>（</w:t>
            </w:r>
            <w:r>
              <w:rPr>
                <w:rFonts w:hint="eastAsia" w:ascii="宋体" w:hAnsi="宋体" w:cs="宋体"/>
                <w:color w:val="000000"/>
                <w:kern w:val="0"/>
                <w:szCs w:val="21"/>
              </w:rPr>
              <w:t>1860-1960</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mm</w:t>
            </w:r>
            <w:r>
              <w:rPr>
                <w:rFonts w:hint="eastAsia" w:ascii="宋体" w:hAnsi="宋体" w:cs="宋体"/>
                <w:color w:val="000000"/>
                <w:kern w:val="0"/>
                <w:szCs w:val="21"/>
              </w:rPr>
              <w:t>*860</w:t>
            </w:r>
            <w:r>
              <w:rPr>
                <w:rFonts w:hint="eastAsia" w:ascii="宋体" w:hAnsi="宋体" w:cs="宋体"/>
                <w:color w:val="000000"/>
                <w:kern w:val="0"/>
                <w:szCs w:val="21"/>
                <w:lang w:val="en-US" w:eastAsia="zh-CN"/>
              </w:rPr>
              <w:t>mm</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±0.5mm</w:t>
            </w:r>
            <w:r>
              <w:rPr>
                <w:rFonts w:hint="eastAsia" w:ascii="宋体" w:hAnsi="宋体" w:cs="宋体"/>
                <w:color w:val="000000"/>
                <w:kern w:val="0"/>
                <w:szCs w:val="21"/>
                <w:lang w:eastAsia="zh-CN"/>
              </w:rPr>
              <w:t>）</w:t>
            </w:r>
            <w:r>
              <w:rPr>
                <w:rFonts w:hint="eastAsia" w:ascii="宋体" w:hAnsi="宋体" w:cs="宋体"/>
                <w:color w:val="000000"/>
                <w:kern w:val="0"/>
                <w:szCs w:val="21"/>
              </w:rPr>
              <w:t>*800mm</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±0.5mm</w:t>
            </w:r>
            <w:r>
              <w:rPr>
                <w:rFonts w:hint="eastAsia" w:ascii="宋体" w:hAnsi="宋体" w:cs="宋体"/>
                <w:color w:val="000000"/>
                <w:kern w:val="0"/>
                <w:szCs w:val="21"/>
                <w:lang w:eastAsia="zh-CN"/>
              </w:rPr>
              <w:t>）</w:t>
            </w:r>
            <w:r>
              <w:rPr>
                <w:rFonts w:hint="eastAsia" w:ascii="宋体" w:hAnsi="宋体" w:cs="宋体"/>
                <w:color w:val="000000"/>
                <w:kern w:val="0"/>
                <w:szCs w:val="21"/>
              </w:rPr>
              <w:t>；（1分）</w:t>
            </w:r>
          </w:p>
          <w:p>
            <w:pPr>
              <w:rPr>
                <w:rFonts w:ascii="宋体" w:hAnsi="宋体" w:cs="宋体"/>
                <w:color w:val="000000"/>
                <w:kern w:val="0"/>
                <w:szCs w:val="21"/>
              </w:rPr>
            </w:pPr>
            <w:r>
              <w:rPr>
                <w:rFonts w:hint="eastAsia" w:ascii="宋体" w:hAnsi="宋体" w:cs="宋体"/>
                <w:color w:val="000000"/>
                <w:kern w:val="0"/>
                <w:szCs w:val="21"/>
              </w:rPr>
              <w:t>2.台面规格满足：</w:t>
            </w:r>
            <w:r>
              <w:rPr>
                <w:rFonts w:hint="eastAsia" w:ascii="宋体" w:hAnsi="宋体" w:cs="宋体"/>
                <w:color w:val="000000"/>
                <w:kern w:val="0"/>
                <w:szCs w:val="21"/>
                <w:lang w:eastAsia="zh-CN"/>
              </w:rPr>
              <w:t>（</w:t>
            </w:r>
            <w:r>
              <w:rPr>
                <w:rFonts w:hint="eastAsia" w:ascii="宋体" w:hAnsi="宋体" w:cs="宋体"/>
                <w:color w:val="000000"/>
                <w:kern w:val="0"/>
                <w:szCs w:val="21"/>
              </w:rPr>
              <w:t>1860-1960</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mm</w:t>
            </w:r>
            <w:r>
              <w:rPr>
                <w:rFonts w:hint="eastAsia" w:ascii="宋体" w:hAnsi="宋体" w:cs="宋体"/>
                <w:color w:val="000000"/>
                <w:kern w:val="0"/>
                <w:szCs w:val="21"/>
              </w:rPr>
              <w:t>*860</w:t>
            </w:r>
            <w:r>
              <w:rPr>
                <w:rFonts w:hint="eastAsia" w:ascii="宋体" w:hAnsi="宋体" w:cs="宋体"/>
                <w:color w:val="000000"/>
                <w:kern w:val="0"/>
                <w:szCs w:val="21"/>
                <w:lang w:val="en-US" w:eastAsia="zh-CN"/>
              </w:rPr>
              <w:t>mm</w:t>
            </w:r>
            <w:r>
              <w:rPr>
                <w:rFonts w:hint="eastAsia" w:ascii="宋体" w:hAnsi="宋体" w:cs="宋体"/>
                <w:color w:val="000000"/>
                <w:kern w:val="0"/>
                <w:szCs w:val="21"/>
              </w:rPr>
              <w:t>*20/25mm，</w:t>
            </w:r>
            <w:r>
              <w:rPr>
                <w:rFonts w:hint="eastAsia" w:ascii="宋体" w:hAnsi="宋体"/>
                <w:szCs w:val="21"/>
              </w:rPr>
              <w:t>台面采用碟形实验室工业陶瓷板</w:t>
            </w:r>
            <w:r>
              <w:rPr>
                <w:rFonts w:hint="eastAsia" w:ascii="宋体" w:hAnsi="宋体" w:cs="宋体"/>
                <w:color w:val="000000"/>
                <w:kern w:val="0"/>
                <w:szCs w:val="21"/>
              </w:rPr>
              <w:t>，台面是否采用整块陶瓷板四周一体翘边工艺（不能采用拼接或者后期加厚方式加工），操作区域厚≥20mm四周翘边厚≥25mm，防止试剂及液体外流。（1分）</w:t>
            </w:r>
          </w:p>
          <w:p>
            <w:pPr>
              <w:spacing w:line="400" w:lineRule="exact"/>
              <w:rPr>
                <w:rFonts w:ascii="宋体" w:hAnsi="宋体"/>
                <w:szCs w:val="21"/>
              </w:rPr>
            </w:pPr>
            <w:r>
              <w:rPr>
                <w:rFonts w:hint="eastAsia" w:ascii="宋体" w:hAnsi="宋体" w:cs="宋体"/>
                <w:color w:val="000000"/>
                <w:kern w:val="0"/>
                <w:szCs w:val="21"/>
              </w:rPr>
              <w:t>3.柜体为全钢落地式结构，是否采用镀锌钢板制作，厚度≥1.2㎜；（1分）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vMerge w:val="restart"/>
            <w:tcBorders>
              <w:left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演示类样品（12分）</w:t>
            </w:r>
          </w:p>
        </w:tc>
        <w:tc>
          <w:tcPr>
            <w:tcW w:w="904" w:type="dxa"/>
            <w:tcBorders>
              <w:top w:val="single" w:color="auto" w:sz="4" w:space="0"/>
              <w:left w:val="single" w:color="auto" w:sz="4" w:space="0"/>
              <w:right w:val="single" w:color="auto" w:sz="4" w:space="0"/>
            </w:tcBorders>
            <w:vAlign w:val="center"/>
          </w:tcPr>
          <w:p>
            <w:pPr>
              <w:jc w:val="center"/>
              <w:rPr>
                <w:rFonts w:ascii="宋体" w:hAnsi="宋体" w:cs="宋体"/>
                <w:color w:val="000000"/>
                <w:kern w:val="0"/>
                <w:szCs w:val="21"/>
              </w:rPr>
            </w:pPr>
            <w:r>
              <w:rPr>
                <w:rFonts w:hint="eastAsia"/>
                <w:bCs/>
                <w:color w:val="000000"/>
                <w:szCs w:val="21"/>
              </w:rPr>
              <w:t>学生用生物显微镜</w:t>
            </w:r>
            <w:r>
              <w:rPr>
                <w:rFonts w:hint="eastAsia" w:ascii="宋体" w:hAnsi="宋体" w:cs="宋体"/>
                <w:color w:val="000000"/>
                <w:kern w:val="0"/>
                <w:szCs w:val="21"/>
              </w:rPr>
              <w:t>（2分）</w:t>
            </w:r>
          </w:p>
        </w:tc>
        <w:tc>
          <w:tcPr>
            <w:tcW w:w="6188" w:type="dxa"/>
            <w:gridSpan w:val="2"/>
            <w:tcBorders>
              <w:top w:val="single" w:color="auto" w:sz="4" w:space="0"/>
              <w:left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样品评审标准：</w:t>
            </w:r>
          </w:p>
          <w:p>
            <w:pPr>
              <w:jc w:val="left"/>
              <w:rPr>
                <w:rFonts w:ascii="宋体" w:hAnsi="宋体"/>
                <w:color w:val="000000"/>
                <w:szCs w:val="21"/>
              </w:rPr>
            </w:pPr>
            <w:r>
              <w:rPr>
                <w:rFonts w:hint="eastAsia" w:ascii="宋体" w:hAnsi="宋体"/>
                <w:color w:val="000000"/>
                <w:szCs w:val="21"/>
              </w:rPr>
              <w:t>实验器材：学生用生物显微镜、配套电源</w:t>
            </w:r>
          </w:p>
          <w:p>
            <w:pPr>
              <w:jc w:val="left"/>
              <w:rPr>
                <w:rFonts w:ascii="宋体" w:hAnsi="宋体"/>
                <w:color w:val="000000"/>
                <w:szCs w:val="21"/>
              </w:rPr>
            </w:pPr>
            <w:r>
              <w:rPr>
                <w:rFonts w:hint="eastAsia" w:ascii="宋体" w:hAnsi="宋体"/>
                <w:color w:val="000000"/>
                <w:szCs w:val="21"/>
              </w:rPr>
              <w:t>演示内容：</w:t>
            </w:r>
          </w:p>
          <w:p>
            <w:pPr>
              <w:jc w:val="left"/>
              <w:rPr>
                <w:rFonts w:ascii="宋体" w:hAnsi="宋体"/>
                <w:color w:val="000000"/>
                <w:szCs w:val="21"/>
              </w:rPr>
            </w:pPr>
            <w:r>
              <w:rPr>
                <w:rFonts w:hint="eastAsia" w:ascii="宋体" w:hAnsi="宋体"/>
                <w:color w:val="000000"/>
                <w:szCs w:val="21"/>
              </w:rPr>
              <w:t>1.镜筒：45度倾斜，360度旋转</w:t>
            </w:r>
            <w:r>
              <w:rPr>
                <w:rFonts w:hint="eastAsia" w:ascii="宋体" w:hAnsi="宋体" w:cs="宋体"/>
                <w:color w:val="000000"/>
                <w:kern w:val="0"/>
                <w:szCs w:val="21"/>
              </w:rPr>
              <w:t>（1分）</w:t>
            </w:r>
          </w:p>
          <w:p>
            <w:pPr>
              <w:jc w:val="left"/>
              <w:rPr>
                <w:rFonts w:ascii="宋体" w:hAnsi="宋体"/>
                <w:color w:val="000000"/>
                <w:szCs w:val="21"/>
              </w:rPr>
            </w:pPr>
            <w:r>
              <w:rPr>
                <w:rFonts w:hint="eastAsia" w:ascii="宋体" w:hAnsi="宋体"/>
                <w:color w:val="000000"/>
                <w:szCs w:val="21"/>
              </w:rPr>
              <w:t>2.转换器：三孔转换器，保证齐焦</w:t>
            </w:r>
            <w:r>
              <w:rPr>
                <w:rFonts w:hint="eastAsia" w:ascii="宋体" w:hAnsi="宋体" w:cs="宋体"/>
                <w:color w:val="000000"/>
                <w:kern w:val="0"/>
                <w:szCs w:val="21"/>
              </w:rPr>
              <w:t>（1分）</w:t>
            </w:r>
          </w:p>
        </w:tc>
        <w:tc>
          <w:tcPr>
            <w:tcW w:w="1016" w:type="dxa"/>
            <w:tcBorders>
              <w:top w:val="single" w:color="auto" w:sz="4" w:space="0"/>
              <w:left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vMerge w:val="continue"/>
            <w:tcBorders>
              <w:left w:val="single" w:color="auto" w:sz="4" w:space="0"/>
              <w:right w:val="single" w:color="auto" w:sz="4" w:space="0"/>
            </w:tcBorders>
            <w:vAlign w:val="center"/>
          </w:tcPr>
          <w:p>
            <w:pPr>
              <w:spacing w:line="400" w:lineRule="exact"/>
              <w:jc w:val="center"/>
              <w:rPr>
                <w:rFonts w:ascii="宋体" w:hAnsi="宋体"/>
                <w:szCs w:val="21"/>
              </w:rPr>
            </w:pP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szCs w:val="21"/>
              </w:rPr>
              <w:t>教师用生物数码显微镜</w:t>
            </w:r>
            <w:r>
              <w:rPr>
                <w:rFonts w:hint="eastAsia" w:ascii="宋体" w:hAnsi="宋体" w:cs="宋体"/>
                <w:color w:val="000000"/>
                <w:kern w:val="0"/>
                <w:szCs w:val="21"/>
              </w:rPr>
              <w:t>（4分）</w:t>
            </w:r>
          </w:p>
        </w:tc>
        <w:tc>
          <w:tcPr>
            <w:tcW w:w="6188" w:type="dxa"/>
            <w:gridSpan w:val="2"/>
            <w:tcBorders>
              <w:top w:val="single" w:color="auto" w:sz="4" w:space="0"/>
              <w:left w:val="single" w:color="auto" w:sz="4" w:space="0"/>
              <w:bottom w:val="single" w:color="auto" w:sz="4" w:space="0"/>
              <w:right w:val="single" w:color="auto" w:sz="4" w:space="0"/>
            </w:tcBorders>
            <w:vAlign w:val="bottom"/>
          </w:tcPr>
          <w:p>
            <w:pPr>
              <w:jc w:val="left"/>
              <w:rPr>
                <w:rFonts w:ascii="宋体" w:hAnsi="宋体"/>
                <w:color w:val="000000"/>
                <w:szCs w:val="21"/>
              </w:rPr>
            </w:pPr>
            <w:r>
              <w:rPr>
                <w:rFonts w:hint="eastAsia" w:ascii="宋体" w:hAnsi="宋体"/>
                <w:color w:val="000000"/>
                <w:szCs w:val="21"/>
              </w:rPr>
              <w:t>样品评审标准：</w:t>
            </w:r>
          </w:p>
          <w:p>
            <w:pPr>
              <w:jc w:val="left"/>
              <w:rPr>
                <w:rFonts w:ascii="宋体" w:hAnsi="宋体"/>
                <w:color w:val="000000"/>
                <w:szCs w:val="21"/>
              </w:rPr>
            </w:pPr>
            <w:r>
              <w:rPr>
                <w:rFonts w:hint="eastAsia" w:ascii="宋体" w:hAnsi="宋体"/>
                <w:color w:val="000000"/>
                <w:szCs w:val="21"/>
              </w:rPr>
              <w:t>实验器材：教师用生物数码显微镜、配套电源</w:t>
            </w:r>
          </w:p>
          <w:p>
            <w:pPr>
              <w:jc w:val="left"/>
              <w:rPr>
                <w:rFonts w:ascii="宋体" w:hAnsi="宋体"/>
                <w:color w:val="000000"/>
                <w:szCs w:val="21"/>
              </w:rPr>
            </w:pPr>
            <w:r>
              <w:rPr>
                <w:rFonts w:hint="eastAsia" w:ascii="宋体" w:hAnsi="宋体"/>
                <w:color w:val="000000"/>
                <w:szCs w:val="21"/>
              </w:rPr>
              <w:t>演示内容：</w:t>
            </w:r>
          </w:p>
          <w:p>
            <w:pPr>
              <w:jc w:val="left"/>
              <w:rPr>
                <w:rFonts w:ascii="宋体" w:hAnsi="宋体"/>
                <w:color w:val="000000"/>
                <w:szCs w:val="21"/>
              </w:rPr>
            </w:pPr>
            <w:r>
              <w:rPr>
                <w:rFonts w:hint="eastAsia" w:ascii="宋体" w:hAnsi="宋体"/>
                <w:color w:val="000000"/>
                <w:szCs w:val="21"/>
              </w:rPr>
              <w:t>1. 观察头：30度观察头，铰链式双目360度旋转，在标准65mm瞳距时，眼点从397mm提升至431mm，便于教师站立上课，固定式目镜筒，瞳距调节范围50-75mm。</w:t>
            </w:r>
            <w:r>
              <w:rPr>
                <w:rFonts w:hint="eastAsia" w:ascii="宋体" w:hAnsi="宋体" w:cs="宋体"/>
                <w:color w:val="000000"/>
                <w:kern w:val="0"/>
                <w:szCs w:val="21"/>
              </w:rPr>
              <w:t>（1分）</w:t>
            </w:r>
            <w:r>
              <w:rPr>
                <w:rFonts w:hint="eastAsia" w:ascii="宋体" w:hAnsi="宋体"/>
                <w:color w:val="000000"/>
                <w:szCs w:val="21"/>
              </w:rPr>
              <w:br w:type="textWrapping"/>
            </w:r>
            <w:r>
              <w:rPr>
                <w:rFonts w:hint="eastAsia" w:ascii="宋体" w:hAnsi="宋体"/>
                <w:color w:val="000000"/>
                <w:szCs w:val="21"/>
              </w:rPr>
              <w:t>2. 照明系统：具有连续可调节的色温装置，实时在液晶显示屏观察到色温数值。色温可调范围：3000-5600K，最小步进值100K。实现传统卤素灯到LED光源连续可调，便于观察。</w:t>
            </w:r>
            <w:r>
              <w:rPr>
                <w:rFonts w:hint="eastAsia" w:ascii="宋体" w:hAnsi="宋体" w:cs="宋体"/>
                <w:color w:val="000000"/>
                <w:kern w:val="0"/>
                <w:szCs w:val="21"/>
              </w:rPr>
              <w:t>（1分）</w:t>
            </w:r>
            <w:r>
              <w:rPr>
                <w:rFonts w:hint="eastAsia" w:ascii="宋体" w:hAnsi="宋体"/>
                <w:color w:val="000000"/>
                <w:szCs w:val="21"/>
              </w:rPr>
              <w:br w:type="textWrapping"/>
            </w:r>
            <w:r>
              <w:rPr>
                <w:rFonts w:hint="eastAsia" w:ascii="宋体" w:hAnsi="宋体"/>
                <w:color w:val="000000"/>
                <w:szCs w:val="21"/>
              </w:rPr>
              <w:t>3. 转换器：内倾式编码转换器≥5孔。演示物镜照明记忆功能：自动记忆上一次观察的亮度并在下次使用该物镜时自动调出。</w:t>
            </w:r>
            <w:r>
              <w:rPr>
                <w:rFonts w:hint="eastAsia" w:ascii="宋体" w:hAnsi="宋体" w:cs="宋体"/>
                <w:color w:val="000000"/>
                <w:kern w:val="0"/>
                <w:szCs w:val="21"/>
              </w:rPr>
              <w:t>（1分）</w:t>
            </w:r>
            <w:r>
              <w:rPr>
                <w:rFonts w:hint="eastAsia" w:ascii="宋体" w:hAnsi="宋体"/>
                <w:color w:val="000000"/>
                <w:szCs w:val="21"/>
              </w:rPr>
              <w:br w:type="textWrapping"/>
            </w:r>
            <w:r>
              <w:rPr>
                <w:rFonts w:hint="eastAsia" w:ascii="宋体" w:hAnsi="宋体"/>
                <w:color w:val="000000"/>
                <w:szCs w:val="21"/>
              </w:rPr>
              <w:t>4. 载物台：双层复合机械移动平台,支持双切片（载玻片）夹，无突出的棱角和齿轮；平台尺寸，150mmX162mm,移动范围:76mmX50mm;精度0.1mm。</w:t>
            </w:r>
            <w:r>
              <w:rPr>
                <w:rFonts w:hint="eastAsia" w:ascii="宋体" w:hAnsi="宋体" w:cs="宋体"/>
                <w:color w:val="000000"/>
                <w:kern w:val="0"/>
                <w:szCs w:val="21"/>
              </w:rPr>
              <w:t>（1分）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right w:val="single" w:color="auto" w:sz="4" w:space="0"/>
            </w:tcBorders>
            <w:vAlign w:val="center"/>
          </w:tcPr>
          <w:p>
            <w:pPr>
              <w:widowControl/>
              <w:jc w:val="left"/>
              <w:rPr>
                <w:rFonts w:ascii="宋体" w:hAnsi="宋体"/>
                <w:szCs w:val="21"/>
              </w:rPr>
            </w:pPr>
          </w:p>
        </w:tc>
        <w:tc>
          <w:tcPr>
            <w:tcW w:w="992" w:type="dxa"/>
            <w:vMerge w:val="continue"/>
            <w:tcBorders>
              <w:left w:val="single" w:color="auto" w:sz="4" w:space="0"/>
              <w:right w:val="single" w:color="auto" w:sz="4" w:space="0"/>
            </w:tcBorders>
            <w:vAlign w:val="center"/>
          </w:tcPr>
          <w:p>
            <w:pPr>
              <w:spacing w:line="400" w:lineRule="exact"/>
              <w:jc w:val="center"/>
              <w:rPr>
                <w:rFonts w:ascii="宋体" w:hAnsi="宋体"/>
                <w:szCs w:val="21"/>
              </w:rPr>
            </w:pP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Cs w:val="21"/>
              </w:rPr>
            </w:pPr>
            <w:r>
              <w:rPr>
                <w:rFonts w:hint="eastAsia" w:ascii="宋体" w:hAnsi="宋体" w:cs="宋体"/>
                <w:bCs/>
                <w:color w:val="000000"/>
                <w:kern w:val="0"/>
                <w:szCs w:val="21"/>
              </w:rPr>
              <w:t>可调微量移液器</w:t>
            </w:r>
            <w:r>
              <w:rPr>
                <w:rFonts w:hint="eastAsia" w:ascii="宋体" w:hAnsi="宋体" w:cs="宋体"/>
                <w:color w:val="000000"/>
                <w:kern w:val="0"/>
                <w:szCs w:val="21"/>
              </w:rPr>
              <w:t>（3分）</w:t>
            </w:r>
          </w:p>
        </w:tc>
        <w:tc>
          <w:tcPr>
            <w:tcW w:w="618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样品标准：</w:t>
            </w:r>
          </w:p>
          <w:p>
            <w:pPr>
              <w:jc w:val="left"/>
              <w:rPr>
                <w:rFonts w:ascii="宋体" w:hAnsi="宋体"/>
                <w:color w:val="000000"/>
                <w:szCs w:val="21"/>
              </w:rPr>
            </w:pPr>
            <w:r>
              <w:rPr>
                <w:rFonts w:hint="eastAsia" w:ascii="宋体" w:hAnsi="宋体"/>
                <w:color w:val="000000"/>
                <w:szCs w:val="21"/>
              </w:rPr>
              <w:t>实验器材：单道移液器0.5-10ul，10-100ul，100-1000ul各一只。</w:t>
            </w:r>
          </w:p>
          <w:p>
            <w:pPr>
              <w:jc w:val="left"/>
              <w:rPr>
                <w:rFonts w:ascii="宋体" w:hAnsi="宋体"/>
                <w:color w:val="000000"/>
                <w:szCs w:val="21"/>
              </w:rPr>
            </w:pPr>
            <w:r>
              <w:rPr>
                <w:rFonts w:hint="eastAsia" w:ascii="宋体" w:hAnsi="宋体"/>
                <w:color w:val="000000"/>
                <w:szCs w:val="21"/>
              </w:rPr>
              <w:t>演示内容：</w:t>
            </w:r>
          </w:p>
          <w:p>
            <w:pPr>
              <w:jc w:val="left"/>
              <w:rPr>
                <w:rFonts w:ascii="宋体" w:hAnsi="宋体"/>
                <w:color w:val="000000"/>
                <w:szCs w:val="21"/>
              </w:rPr>
            </w:pPr>
            <w:r>
              <w:rPr>
                <w:rFonts w:hint="eastAsia" w:ascii="宋体" w:hAnsi="宋体"/>
                <w:color w:val="000000"/>
                <w:szCs w:val="21"/>
              </w:rPr>
              <w:t>1. 满足四位数字放大体积显示；</w:t>
            </w:r>
            <w:r>
              <w:rPr>
                <w:rFonts w:hint="eastAsia" w:ascii="宋体" w:hAnsi="宋体" w:cs="宋体"/>
                <w:color w:val="000000"/>
                <w:kern w:val="0"/>
                <w:szCs w:val="21"/>
              </w:rPr>
              <w:t>（1分）</w:t>
            </w:r>
            <w:r>
              <w:rPr>
                <w:rFonts w:hint="eastAsia" w:ascii="宋体" w:hAnsi="宋体"/>
                <w:color w:val="000000"/>
                <w:szCs w:val="21"/>
              </w:rPr>
              <w:br w:type="textWrapping"/>
            </w:r>
            <w:r>
              <w:rPr>
                <w:rFonts w:hint="eastAsia" w:ascii="宋体" w:hAnsi="宋体"/>
                <w:color w:val="000000"/>
                <w:szCs w:val="21"/>
              </w:rPr>
              <w:t>2. 满足伸缩式弹性吸嘴设计；</w:t>
            </w:r>
            <w:r>
              <w:rPr>
                <w:rFonts w:hint="eastAsia" w:ascii="宋体" w:hAnsi="宋体" w:cs="宋体"/>
                <w:color w:val="000000"/>
                <w:kern w:val="0"/>
                <w:szCs w:val="21"/>
              </w:rPr>
              <w:t>（1分）</w:t>
            </w:r>
            <w:r>
              <w:rPr>
                <w:rFonts w:hint="eastAsia" w:ascii="宋体" w:hAnsi="宋体"/>
                <w:color w:val="000000"/>
                <w:szCs w:val="21"/>
              </w:rPr>
              <w:br w:type="textWrapping"/>
            </w:r>
            <w:r>
              <w:rPr>
                <w:rFonts w:hint="eastAsia" w:ascii="宋体" w:hAnsi="宋体"/>
                <w:color w:val="000000"/>
                <w:szCs w:val="21"/>
              </w:rPr>
              <w:t>3. 满足适用不同密度液体，具备密度调节功能；</w:t>
            </w:r>
            <w:r>
              <w:rPr>
                <w:rFonts w:hint="eastAsia" w:ascii="宋体" w:hAnsi="宋体" w:cs="宋体"/>
                <w:color w:val="000000"/>
                <w:kern w:val="0"/>
                <w:szCs w:val="21"/>
              </w:rPr>
              <w:t>（1分）</w:t>
            </w: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992" w:type="dxa"/>
            <w:vMerge w:val="continue"/>
            <w:tcBorders>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p>
        </w:tc>
        <w:tc>
          <w:tcPr>
            <w:tcW w:w="9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Cs w:val="21"/>
              </w:rPr>
            </w:pPr>
            <w:r>
              <w:rPr>
                <w:rFonts w:hint="eastAsia" w:ascii="宋体" w:hAnsi="宋体"/>
                <w:color w:val="000000"/>
                <w:szCs w:val="21"/>
              </w:rPr>
              <w:t>小型无土栽培系统</w:t>
            </w:r>
            <w:r>
              <w:rPr>
                <w:rFonts w:hint="eastAsia" w:ascii="宋体" w:hAnsi="宋体" w:cs="宋体"/>
                <w:color w:val="000000"/>
                <w:kern w:val="0"/>
                <w:szCs w:val="21"/>
              </w:rPr>
              <w:t>（3分）</w:t>
            </w:r>
          </w:p>
        </w:tc>
        <w:tc>
          <w:tcPr>
            <w:tcW w:w="6188"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Cs w:val="21"/>
              </w:rPr>
            </w:pPr>
            <w:r>
              <w:rPr>
                <w:rFonts w:hint="eastAsia" w:ascii="宋体" w:hAnsi="宋体"/>
                <w:color w:val="000000"/>
                <w:szCs w:val="21"/>
              </w:rPr>
              <w:t>样品标准：</w:t>
            </w:r>
          </w:p>
          <w:p>
            <w:pPr>
              <w:jc w:val="left"/>
              <w:rPr>
                <w:rFonts w:ascii="宋体" w:hAnsi="宋体"/>
                <w:color w:val="000000"/>
                <w:szCs w:val="21"/>
              </w:rPr>
            </w:pPr>
            <w:r>
              <w:rPr>
                <w:rFonts w:hint="eastAsia" w:ascii="宋体" w:hAnsi="宋体"/>
                <w:color w:val="000000"/>
                <w:szCs w:val="21"/>
              </w:rPr>
              <w:t>实验器材：小型无土栽培系统，配套电源</w:t>
            </w:r>
          </w:p>
          <w:p>
            <w:pPr>
              <w:jc w:val="left"/>
              <w:rPr>
                <w:rFonts w:ascii="宋体" w:hAnsi="宋体"/>
                <w:color w:val="000000"/>
                <w:szCs w:val="21"/>
              </w:rPr>
            </w:pPr>
            <w:r>
              <w:rPr>
                <w:rFonts w:hint="eastAsia" w:ascii="宋体" w:hAnsi="宋体"/>
                <w:color w:val="000000"/>
                <w:szCs w:val="21"/>
              </w:rPr>
              <w:t>演示内容：</w:t>
            </w:r>
          </w:p>
          <w:p>
            <w:pPr>
              <w:jc w:val="left"/>
              <w:rPr>
                <w:rFonts w:ascii="宋体" w:hAnsi="宋体"/>
                <w:color w:val="000000"/>
                <w:szCs w:val="21"/>
              </w:rPr>
            </w:pPr>
            <w:r>
              <w:rPr>
                <w:rFonts w:hint="eastAsia" w:ascii="宋体" w:hAnsi="宋体"/>
                <w:color w:val="000000"/>
                <w:szCs w:val="21"/>
              </w:rPr>
              <w:t>1.内置栽培箱可取出栽培，同时配置活动苗床板，方便种植和清洗。</w:t>
            </w:r>
            <w:r>
              <w:rPr>
                <w:rFonts w:hint="eastAsia" w:ascii="宋体" w:hAnsi="宋体" w:cs="宋体"/>
                <w:color w:val="000000"/>
                <w:kern w:val="0"/>
                <w:szCs w:val="21"/>
              </w:rPr>
              <w:t>（1.5分）</w:t>
            </w:r>
          </w:p>
          <w:p>
            <w:pPr>
              <w:jc w:val="left"/>
              <w:rPr>
                <w:rFonts w:ascii="宋体" w:hAnsi="宋体"/>
                <w:color w:val="000000"/>
                <w:szCs w:val="21"/>
              </w:rPr>
            </w:pPr>
            <w:r>
              <w:rPr>
                <w:rFonts w:hint="eastAsia" w:ascii="宋体" w:hAnsi="宋体"/>
                <w:color w:val="000000"/>
                <w:szCs w:val="21"/>
              </w:rPr>
              <w:t>2.可设定照明时间（6-22小时任意设置），未设定时，LED灯照明24小时，设有3种植模式（普通种植模式、发芽模式、花模式），发芽模式和花模式指示灯为橙色，普通种植模式绿色。</w:t>
            </w:r>
            <w:r>
              <w:rPr>
                <w:rFonts w:hint="eastAsia" w:ascii="宋体" w:hAnsi="宋体" w:cs="宋体"/>
                <w:color w:val="000000"/>
                <w:kern w:val="0"/>
                <w:szCs w:val="21"/>
              </w:rPr>
              <w:t>（1.5分）</w:t>
            </w:r>
          </w:p>
          <w:p>
            <w:pPr>
              <w:jc w:val="left"/>
              <w:rPr>
                <w:rFonts w:ascii="宋体" w:hAnsi="宋体"/>
                <w:color w:val="000000"/>
                <w:szCs w:val="21"/>
              </w:rPr>
            </w:pPr>
          </w:p>
        </w:tc>
        <w:tc>
          <w:tcPr>
            <w:tcW w:w="101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zCs w:val="21"/>
              </w:rPr>
            </w:pPr>
          </w:p>
        </w:tc>
      </w:tr>
    </w:tbl>
    <w:p>
      <w:pPr>
        <w:spacing w:line="360" w:lineRule="auto"/>
        <w:jc w:val="left"/>
        <w:rPr>
          <w:rFonts w:hint="eastAsia" w:ascii="宋体" w:hAnsi="宋体"/>
          <w:szCs w:val="21"/>
        </w:rPr>
      </w:pPr>
      <w:r>
        <w:rPr>
          <w:rFonts w:hint="eastAsia"/>
        </w:rPr>
        <w:t>注：</w:t>
      </w:r>
      <w:r>
        <w:rPr>
          <w:rFonts w:hint="eastAsia" w:ascii="宋体" w:hAnsi="宋体" w:cs="宋体"/>
          <w:b/>
          <w:szCs w:val="21"/>
          <w:lang w:val="zh-CN"/>
        </w:rPr>
        <w:t xml:space="preserve"> </w:t>
      </w:r>
      <w:r>
        <w:rPr>
          <w:rFonts w:ascii="宋体" w:hAnsi="宋体"/>
          <w:kern w:val="0"/>
          <w:szCs w:val="21"/>
        </w:rPr>
        <w:t>为保证产品质量要求，</w:t>
      </w:r>
      <w:r>
        <w:rPr>
          <w:rFonts w:hint="eastAsia" w:ascii="宋体" w:hAnsi="宋体"/>
          <w:kern w:val="0"/>
          <w:szCs w:val="21"/>
        </w:rPr>
        <w:t>要求</w:t>
      </w:r>
      <w:r>
        <w:rPr>
          <w:rFonts w:ascii="宋体" w:hAnsi="宋体"/>
          <w:kern w:val="0"/>
          <w:szCs w:val="21"/>
        </w:rPr>
        <w:t>标注</w:t>
      </w:r>
      <w:r>
        <w:rPr>
          <w:rFonts w:hint="eastAsia" w:ascii="宋体" w:hAnsi="宋体"/>
          <w:kern w:val="0"/>
          <w:szCs w:val="21"/>
        </w:rPr>
        <w:t>“投标时需提供样品”</w:t>
      </w:r>
      <w:r>
        <w:rPr>
          <w:rFonts w:ascii="宋体" w:hAnsi="宋体"/>
          <w:kern w:val="0"/>
          <w:szCs w:val="21"/>
        </w:rPr>
        <w:t>的产品提供样品1套，</w:t>
      </w:r>
      <w:r>
        <w:rPr>
          <w:rFonts w:hint="eastAsia" w:ascii="宋体" w:hAnsi="宋体"/>
          <w:kern w:val="0"/>
          <w:szCs w:val="21"/>
        </w:rPr>
        <w:t>样品在投标现场进行演示及实验</w:t>
      </w:r>
      <w:r>
        <w:rPr>
          <w:rFonts w:ascii="宋体" w:hAnsi="宋体"/>
          <w:bCs/>
          <w:kern w:val="0"/>
          <w:szCs w:val="21"/>
        </w:rPr>
        <w:t>。</w:t>
      </w:r>
      <w:r>
        <w:rPr>
          <w:rFonts w:hint="eastAsia" w:ascii="宋体" w:hAnsi="宋体"/>
          <w:bCs/>
          <w:kern w:val="0"/>
          <w:szCs w:val="21"/>
        </w:rPr>
        <w:t>样品</w:t>
      </w:r>
      <w:r>
        <w:rPr>
          <w:rFonts w:ascii="宋体" w:hAnsi="宋体"/>
          <w:szCs w:val="21"/>
        </w:rPr>
        <w:t>演示</w:t>
      </w:r>
      <w:r>
        <w:rPr>
          <w:rFonts w:hint="eastAsia" w:ascii="宋体" w:hAnsi="宋体"/>
          <w:szCs w:val="21"/>
        </w:rPr>
        <w:t>及实验</w:t>
      </w:r>
      <w:r>
        <w:rPr>
          <w:rFonts w:ascii="宋体" w:hAnsi="宋体"/>
          <w:szCs w:val="21"/>
        </w:rPr>
        <w:t>所需设备由投标人根据演示内容进行准备，现场演示实验项目如</w:t>
      </w:r>
      <w:r>
        <w:rPr>
          <w:rFonts w:hint="eastAsia" w:ascii="宋体" w:hAnsi="宋体"/>
          <w:szCs w:val="21"/>
        </w:rPr>
        <w:t>上</w:t>
      </w:r>
      <w:r>
        <w:rPr>
          <w:rFonts w:ascii="宋体" w:hAnsi="宋体"/>
          <w:szCs w:val="21"/>
        </w:rPr>
        <w:t>表</w:t>
      </w:r>
      <w:r>
        <w:rPr>
          <w:rFonts w:hint="eastAsia" w:ascii="宋体" w:hAnsi="宋体"/>
          <w:szCs w:val="21"/>
        </w:rPr>
        <w:t>：</w:t>
      </w:r>
    </w:p>
    <w:p>
      <w:pPr>
        <w:spacing w:line="360" w:lineRule="auto"/>
        <w:jc w:val="left"/>
        <w:rPr>
          <w:rFonts w:hint="eastAsia" w:ascii="宋体" w:hAnsi="宋体"/>
          <w:szCs w:val="21"/>
          <w:lang w:val="en-US" w:eastAsia="zh-CN"/>
        </w:rPr>
      </w:pPr>
      <w:r>
        <w:rPr>
          <w:rFonts w:hint="eastAsia" w:ascii="宋体" w:hAnsi="宋体"/>
          <w:szCs w:val="21"/>
          <w:lang w:val="en-US" w:eastAsia="zh-CN"/>
        </w:rPr>
        <w:t>样品送达地点：连云港市公共资源交易中心一楼大厅</w:t>
      </w:r>
    </w:p>
    <w:p>
      <w:pPr>
        <w:spacing w:line="360" w:lineRule="auto"/>
        <w:jc w:val="left"/>
        <w:rPr>
          <w:rFonts w:hint="eastAsia" w:ascii="宋体" w:hAnsi="宋体"/>
          <w:szCs w:val="21"/>
          <w:lang w:val="en-US" w:eastAsia="zh-CN"/>
        </w:rPr>
      </w:pPr>
      <w:r>
        <w:rPr>
          <w:rFonts w:hint="eastAsia" w:ascii="宋体" w:hAnsi="宋体"/>
          <w:szCs w:val="21"/>
          <w:lang w:val="en-US" w:eastAsia="zh-CN"/>
        </w:rPr>
        <w:t>样品送达截止时间：2018年7月12日上午10时前</w:t>
      </w:r>
    </w:p>
    <w:p>
      <w:pPr>
        <w:pStyle w:val="32"/>
        <w:tabs>
          <w:tab w:val="left" w:pos="720"/>
          <w:tab w:val="clear" w:pos="916"/>
        </w:tabs>
        <w:spacing w:line="360" w:lineRule="auto"/>
        <w:rPr>
          <w:kern w:val="2"/>
          <w:sz w:val="21"/>
        </w:rPr>
      </w:pPr>
      <w:r>
        <w:rPr>
          <w:rFonts w:hint="eastAsia"/>
          <w:kern w:val="2"/>
          <w:sz w:val="21"/>
        </w:rPr>
        <w:t xml:space="preserve">（三） 总得分 =价格分 + 技术分 + 商务分 </w:t>
      </w:r>
    </w:p>
    <w:p>
      <w:pPr>
        <w:pStyle w:val="32"/>
        <w:tabs>
          <w:tab w:val="left" w:pos="720"/>
          <w:tab w:val="clear" w:pos="916"/>
        </w:tabs>
        <w:spacing w:line="400" w:lineRule="exact"/>
        <w:rPr>
          <w:kern w:val="2"/>
          <w:sz w:val="21"/>
        </w:rPr>
      </w:pPr>
      <w:r>
        <w:rPr>
          <w:rFonts w:hint="eastAsia"/>
          <w:kern w:val="2"/>
          <w:sz w:val="21"/>
        </w:rPr>
        <w:t>（四） 中标标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bookmarkEnd w:id="16"/>
      <w:bookmarkEnd w:id="17"/>
    </w:p>
    <w:p>
      <w:pPr>
        <w:pStyle w:val="32"/>
        <w:tabs>
          <w:tab w:val="left" w:pos="720"/>
          <w:tab w:val="clear" w:pos="916"/>
        </w:tabs>
        <w:spacing w:line="480" w:lineRule="auto"/>
        <w:rPr>
          <w:kern w:val="2"/>
          <w:sz w:val="21"/>
        </w:rPr>
      </w:pPr>
      <w:r>
        <w:rPr>
          <w:rFonts w:hint="eastAsia"/>
          <w:kern w:val="2"/>
          <w:sz w:val="21"/>
        </w:rPr>
        <w:t>（五） 政策功能</w:t>
      </w:r>
    </w:p>
    <w:p>
      <w:pPr>
        <w:tabs>
          <w:tab w:val="left" w:pos="720"/>
        </w:tabs>
        <w:autoSpaceDE w:val="0"/>
        <w:autoSpaceDN w:val="0"/>
        <w:adjustRightInd w:val="0"/>
        <w:snapToGrid w:val="0"/>
        <w:spacing w:line="480" w:lineRule="auto"/>
        <w:ind w:right="18" w:firstLine="420" w:firstLineChars="200"/>
        <w:rPr>
          <w:rFonts w:ascii="宋体"/>
          <w:b/>
          <w:szCs w:val="21"/>
        </w:rPr>
      </w:pPr>
      <w:r>
        <w:rPr>
          <w:rFonts w:hint="eastAsia" w:ascii="宋体" w:hAnsi="宋体"/>
          <w:szCs w:val="21"/>
        </w:rPr>
        <w:t>1、</w:t>
      </w:r>
      <w:r>
        <w:rPr>
          <w:rFonts w:hint="eastAsia" w:ascii="宋体"/>
          <w:b/>
          <w:szCs w:val="21"/>
        </w:rPr>
        <w:t>对于小型和微型企业、监狱企业、残疾人福利性单位以扣除优惠比率后的报价参与价格打分，但不作为中标价和合同签约价。中标价和合同签约价仍以其投标文件中的一次报价为准。</w:t>
      </w:r>
    </w:p>
    <w:p>
      <w:pPr>
        <w:tabs>
          <w:tab w:val="left" w:pos="720"/>
        </w:tabs>
        <w:autoSpaceDE w:val="0"/>
        <w:autoSpaceDN w:val="0"/>
        <w:adjustRightInd w:val="0"/>
        <w:snapToGrid w:val="0"/>
        <w:spacing w:line="480" w:lineRule="auto"/>
        <w:ind w:right="18" w:firstLine="420" w:firstLineChars="200"/>
        <w:rPr>
          <w:rFonts w:ascii="宋体" w:hAnsi="宋体"/>
          <w:szCs w:val="21"/>
        </w:rPr>
      </w:pPr>
      <w:r>
        <w:rPr>
          <w:rFonts w:hint="eastAsia" w:ascii="宋体"/>
          <w:szCs w:val="21"/>
        </w:rPr>
        <w:t>2、</w:t>
      </w:r>
      <w:r>
        <w:rPr>
          <w:rFonts w:hint="eastAsia" w:ascii="宋体"/>
          <w:b/>
          <w:szCs w:val="21"/>
        </w:rPr>
        <w:t>价格给予扣除标准：</w:t>
      </w:r>
    </w:p>
    <w:p>
      <w:pPr>
        <w:tabs>
          <w:tab w:val="left" w:pos="720"/>
        </w:tabs>
        <w:autoSpaceDE w:val="0"/>
        <w:autoSpaceDN w:val="0"/>
        <w:adjustRightInd w:val="0"/>
        <w:snapToGrid w:val="0"/>
        <w:spacing w:line="480" w:lineRule="auto"/>
        <w:ind w:right="18" w:firstLine="420" w:firstLineChars="200"/>
        <w:rPr>
          <w:rFonts w:ascii="宋体" w:hAnsi="宋体"/>
          <w:szCs w:val="21"/>
        </w:rPr>
      </w:pPr>
      <w:r>
        <w:rPr>
          <w:rFonts w:hint="eastAsia" w:ascii="宋体" w:hAnsi="宋体"/>
          <w:szCs w:val="21"/>
        </w:rPr>
        <w:t>本项目执行《政府采购促进中小企业发展暂行办法》的通知财库〔2011〕181号、《中小企业化型标准》工信部联企业〔2011〕300号、《关于政府采购支持监狱企业发展有关问题的通知》财库[2014]68号、《关于促进残疾人就业政府采购政策的通知》财库[2017]141号的规定。</w:t>
      </w:r>
      <w:r>
        <w:rPr>
          <w:rFonts w:hint="eastAsia" w:ascii="宋体" w:hAnsi="宋体"/>
          <w:b/>
          <w:szCs w:val="21"/>
        </w:rPr>
        <w:t>对小型和微型企业、监狱企业、</w:t>
      </w:r>
      <w:r>
        <w:rPr>
          <w:rFonts w:hint="eastAsia" w:ascii="宋体"/>
          <w:b/>
          <w:szCs w:val="21"/>
        </w:rPr>
        <w:t>残疾人福利性单位</w:t>
      </w:r>
      <w:r>
        <w:rPr>
          <w:rFonts w:hint="eastAsia" w:ascii="宋体" w:hAnsi="宋体"/>
          <w:b/>
          <w:szCs w:val="21"/>
        </w:rPr>
        <w:t>产品的价格给予6%的扣除，用扣除后的价格参与评审：</w:t>
      </w:r>
    </w:p>
    <w:p>
      <w:pPr>
        <w:tabs>
          <w:tab w:val="left" w:pos="720"/>
        </w:tabs>
        <w:autoSpaceDE w:val="0"/>
        <w:autoSpaceDN w:val="0"/>
        <w:adjustRightInd w:val="0"/>
        <w:snapToGrid w:val="0"/>
        <w:spacing w:line="480" w:lineRule="auto"/>
        <w:ind w:right="18" w:firstLine="420" w:firstLineChars="200"/>
        <w:rPr>
          <w:rFonts w:ascii="宋体" w:hAnsi="宋体"/>
          <w:szCs w:val="21"/>
        </w:rPr>
      </w:pPr>
      <w:r>
        <w:rPr>
          <w:rFonts w:hint="eastAsia" w:ascii="宋体" w:hAnsi="宋体"/>
          <w:szCs w:val="21"/>
        </w:rPr>
        <w:t>本项目价格扣除计算方法如下：参与报价得分计算的投标报价＝投标人的投标报价-投标报价中包含的</w:t>
      </w:r>
      <w:r>
        <w:rPr>
          <w:rFonts w:hint="eastAsia" w:ascii="宋体" w:hAnsi="宋体"/>
          <w:b/>
          <w:color w:val="FF0000"/>
          <w:szCs w:val="21"/>
        </w:rPr>
        <w:t>小型和微型企业、监狱企业、</w:t>
      </w:r>
      <w:r>
        <w:rPr>
          <w:rFonts w:hint="eastAsia" w:ascii="宋体"/>
          <w:b/>
          <w:color w:val="FF0000"/>
          <w:szCs w:val="21"/>
        </w:rPr>
        <w:t>残疾人福利性单位</w:t>
      </w:r>
      <w:r>
        <w:rPr>
          <w:rFonts w:hint="eastAsia" w:ascii="宋体" w:hAnsi="宋体"/>
          <w:b/>
          <w:color w:val="FF0000"/>
          <w:szCs w:val="21"/>
        </w:rPr>
        <w:t>产品的价格(根据提供材料选择)</w:t>
      </w:r>
      <w:r>
        <w:rPr>
          <w:rFonts w:hint="eastAsia" w:ascii="宋体" w:hAnsi="宋体"/>
          <w:szCs w:val="21"/>
        </w:rPr>
        <w:t>合计×6%。</w:t>
      </w:r>
    </w:p>
    <w:p>
      <w:pPr>
        <w:tabs>
          <w:tab w:val="left" w:pos="720"/>
        </w:tabs>
        <w:autoSpaceDE w:val="0"/>
        <w:autoSpaceDN w:val="0"/>
        <w:adjustRightInd w:val="0"/>
        <w:snapToGrid w:val="0"/>
        <w:spacing w:line="480" w:lineRule="auto"/>
        <w:ind w:right="18" w:firstLine="420" w:firstLineChars="200"/>
        <w:rPr>
          <w:rFonts w:ascii="宋体" w:hAnsi="宋体"/>
          <w:szCs w:val="21"/>
        </w:rPr>
      </w:pPr>
      <w:r>
        <w:rPr>
          <w:rFonts w:hint="eastAsia" w:ascii="宋体" w:hAnsi="宋体"/>
          <w:szCs w:val="21"/>
        </w:rPr>
        <w:t>根据财政部、工信部《政府采购促进中小企业发展暂行办法》（财库〔2011〕181号，以下简称《办法》）规定，该《办法》所称中小企业应当同时符合两个条件，一是符合中小企业划分标准，二是提供本企业制造的货物、承担的工程或者服务，或提供其他中小企业制造的货物。根据工信部等四部委《关于印发中小企业划型标准规定的通知》（工信部联企业〔2011〕300号，以下简称《通知》），该《通知》规定适用于在中国境内依法设立的各类所有制和各种组织形式的企业。</w:t>
      </w:r>
      <w:r>
        <w:rPr>
          <w:rFonts w:hint="eastAsia" w:ascii="宋体" w:hAnsi="宋体"/>
          <w:szCs w:val="21"/>
          <w:u w:val="single"/>
        </w:rPr>
        <w:t>依据现有规范性文件规定，事业单位、团体组织等非企业性质的政府采购供应商，不属于中小企业划型标准确定的中小企业，不得按《通知》规定声明为中小微企业，也不适用《办法》。</w:t>
      </w:r>
      <w:r>
        <w:rPr>
          <w:rFonts w:hint="eastAsia" w:cs="宋体"/>
        </w:rPr>
        <w:t>小型、微型企业提供中型企业制造的货物的，视同为中型企业。</w:t>
      </w:r>
    </w:p>
    <w:p>
      <w:pPr>
        <w:spacing w:line="480" w:lineRule="auto"/>
        <w:ind w:firstLine="371" w:firstLineChars="177"/>
      </w:pPr>
      <w:r>
        <w:rPr>
          <w:rFonts w:hint="eastAsia" w:ascii="宋体" w:hAnsi="宋体"/>
          <w:szCs w:val="21"/>
        </w:rPr>
        <w:t>3、</w:t>
      </w:r>
      <w:r>
        <w:rPr>
          <w:rFonts w:hint="eastAsia"/>
        </w:rPr>
        <w:t>参加政府采购活动的供应商享受</w:t>
      </w:r>
      <w:r>
        <w:rPr>
          <w:rFonts w:hint="eastAsia" w:hAnsi="宋体"/>
        </w:rPr>
        <w:t>小型、微型企业政策</w:t>
      </w:r>
      <w:r>
        <w:rPr>
          <w:rFonts w:hint="eastAsia"/>
        </w:rPr>
        <w:t>应当提供材料：</w:t>
      </w:r>
    </w:p>
    <w:p>
      <w:pPr>
        <w:spacing w:line="480" w:lineRule="auto"/>
        <w:ind w:firstLine="424" w:firstLineChars="177"/>
        <w:rPr>
          <w:rFonts w:ascii="宋体" w:hAnsi="宋体"/>
          <w:sz w:val="24"/>
        </w:rPr>
      </w:pPr>
      <w:r>
        <w:rPr>
          <w:rFonts w:hint="eastAsia" w:ascii="宋体" w:hAnsi="宋体"/>
          <w:sz w:val="24"/>
        </w:rPr>
        <w:t xml:space="preserve"> (1)供应商本身属于小、微型企业且提供自身企业生产的产品应提供：</w:t>
      </w:r>
    </w:p>
    <w:p>
      <w:pPr>
        <w:spacing w:line="480" w:lineRule="auto"/>
        <w:ind w:left="709"/>
        <w:rPr>
          <w:rFonts w:ascii="宋体" w:hAnsi="宋体"/>
          <w:szCs w:val="21"/>
        </w:rPr>
      </w:pPr>
      <w:r>
        <w:rPr>
          <w:rFonts w:hint="eastAsia" w:ascii="宋体" w:hAnsi="宋体"/>
          <w:szCs w:val="21"/>
        </w:rPr>
        <w:t>1)财库[2011]181号文规定的《中小企业声明函》；【格式详见格式10】</w:t>
      </w:r>
    </w:p>
    <w:p>
      <w:pPr>
        <w:spacing w:line="480" w:lineRule="auto"/>
        <w:ind w:left="709"/>
        <w:rPr>
          <w:rFonts w:ascii="宋体" w:hAnsi="宋体"/>
          <w:sz w:val="24"/>
        </w:rPr>
      </w:pPr>
      <w:r>
        <w:rPr>
          <w:rFonts w:hint="eastAsia" w:ascii="宋体" w:hAnsi="宋体"/>
          <w:sz w:val="24"/>
        </w:rPr>
        <w:t xml:space="preserve"> (2)供应商本身属于小、微型企业，但提供其它小、微型企业生产的产品应提供：</w:t>
      </w:r>
    </w:p>
    <w:p>
      <w:pPr>
        <w:spacing w:line="480" w:lineRule="auto"/>
        <w:ind w:left="709"/>
        <w:rPr>
          <w:rFonts w:ascii="宋体" w:hAnsi="宋体"/>
          <w:szCs w:val="21"/>
        </w:rPr>
      </w:pPr>
      <w:r>
        <w:rPr>
          <w:rFonts w:hint="eastAsia" w:ascii="宋体" w:hAnsi="宋体"/>
          <w:szCs w:val="21"/>
        </w:rPr>
        <w:t>1)供应商本身填写的财库[2011]181号文规定的《中小企业声明函》；【格式详见格式10】</w:t>
      </w:r>
    </w:p>
    <w:p>
      <w:pPr>
        <w:spacing w:line="480" w:lineRule="auto"/>
        <w:ind w:left="945" w:leftChars="350" w:hanging="210" w:hangingChars="100"/>
        <w:rPr>
          <w:rFonts w:ascii="宋体" w:hAnsi="宋体"/>
          <w:szCs w:val="21"/>
        </w:rPr>
      </w:pPr>
      <w:r>
        <w:rPr>
          <w:rFonts w:hint="eastAsia" w:ascii="宋体" w:hAnsi="宋体"/>
          <w:szCs w:val="21"/>
        </w:rPr>
        <w:t>2) 投标产品生产企业填写的财库[2011]181号文规定的《中小企业声明函》；【格式详见格式10】；</w:t>
      </w:r>
    </w:p>
    <w:p>
      <w:pPr>
        <w:spacing w:line="480" w:lineRule="auto"/>
        <w:ind w:firstLine="420" w:firstLineChars="200"/>
        <w:rPr>
          <w:rFonts w:ascii="宋体" w:hAnsi="宋体"/>
          <w:szCs w:val="21"/>
        </w:rPr>
      </w:pPr>
      <w:r>
        <w:rPr>
          <w:rFonts w:hint="eastAsia" w:ascii="宋体" w:hAnsi="宋体"/>
          <w:szCs w:val="21"/>
        </w:rPr>
        <w:t>4、参加政府采购活动的供应商属于残疾人福利性单位（满足财库[2017]141号规定的条件），提供《残疾人福利性单位声明函》【格式详见格式11】，享受政府采购支持政策。</w:t>
      </w:r>
    </w:p>
    <w:p>
      <w:pPr>
        <w:tabs>
          <w:tab w:val="left" w:pos="720"/>
        </w:tabs>
        <w:autoSpaceDE w:val="0"/>
        <w:autoSpaceDN w:val="0"/>
        <w:adjustRightInd w:val="0"/>
        <w:snapToGrid w:val="0"/>
        <w:spacing w:line="480" w:lineRule="auto"/>
        <w:ind w:right="18" w:firstLine="420" w:firstLineChars="200"/>
        <w:rPr>
          <w:rFonts w:ascii="宋体" w:hAnsi="宋体"/>
          <w:color w:val="FF0000"/>
          <w:szCs w:val="21"/>
        </w:rPr>
      </w:pPr>
    </w:p>
    <w:p>
      <w:pPr>
        <w:tabs>
          <w:tab w:val="left" w:pos="720"/>
        </w:tabs>
        <w:autoSpaceDE w:val="0"/>
        <w:autoSpaceDN w:val="0"/>
        <w:adjustRightInd w:val="0"/>
        <w:snapToGrid w:val="0"/>
        <w:spacing w:line="480" w:lineRule="auto"/>
        <w:ind w:right="18" w:firstLine="420" w:firstLineChars="200"/>
        <w:rPr>
          <w:rFonts w:ascii="宋体" w:hAnsi="宋体"/>
          <w:color w:val="FF0000"/>
          <w:szCs w:val="21"/>
        </w:rPr>
      </w:pPr>
      <w:r>
        <w:rPr>
          <w:rFonts w:hint="eastAsia" w:ascii="宋体" w:hAnsi="宋体"/>
          <w:color w:val="FF0000"/>
          <w:szCs w:val="21"/>
        </w:rPr>
        <w:t>5、参加政府采购活动的监狱企业，请提供属于《监狱企业声明函》【格式详见格式12】及省级以上监狱管理局、戒毒管理局（含新疆生产建设兵团）出具的属于监狱企业的证明文件。</w:t>
      </w:r>
    </w:p>
    <w:p>
      <w:pPr>
        <w:tabs>
          <w:tab w:val="left" w:pos="720"/>
        </w:tabs>
        <w:autoSpaceDE w:val="0"/>
        <w:autoSpaceDN w:val="0"/>
        <w:adjustRightInd w:val="0"/>
        <w:snapToGrid w:val="0"/>
        <w:spacing w:line="480" w:lineRule="auto"/>
        <w:ind w:right="18" w:firstLine="420" w:firstLineChars="200"/>
        <w:rPr>
          <w:rFonts w:ascii="宋体" w:hAnsi="宋体"/>
          <w:color w:val="FF0000"/>
          <w:szCs w:val="21"/>
        </w:rPr>
      </w:pPr>
      <w:r>
        <w:rPr>
          <w:rFonts w:hint="eastAsia"/>
          <w:color w:val="FF0000"/>
        </w:rPr>
        <w:t>【根据财库〔2014〕68号《财政部 司法部关于政府采购支持监狱企业发展有关问题的通知》，监狱企业视同小微企业，享受政府采购支持政策。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w:t>
      </w:r>
    </w:p>
    <w:p>
      <w:pPr>
        <w:spacing w:line="360" w:lineRule="auto"/>
      </w:pPr>
      <w:r>
        <w:t xml:space="preserve"> </w:t>
      </w:r>
    </w:p>
    <w:sectPr>
      <w:headerReference r:id="rId3" w:type="default"/>
      <w:footerReference r:id="rId4" w:type="default"/>
      <w:footerReference r:id="rId5" w:type="even"/>
      <w:pgSz w:w="11906" w:h="16838"/>
      <w:pgMar w:top="1134" w:right="1134" w:bottom="1134" w:left="1134" w:header="720" w:footer="720" w:gutter="0"/>
      <w:pgNumType w:start="0"/>
      <w:cols w:space="720" w:num="1"/>
      <w:titlePg/>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金山简黑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A00002BF" w:usb1="68C7FCFB" w:usb2="00000010" w:usb3="00000000" w:csb0="4002009F" w:csb1="DFD7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rPr>
    </w:pPr>
    <w:r>
      <w:fldChar w:fldCharType="begin"/>
    </w:r>
    <w:r>
      <w:rPr>
        <w:rStyle w:val="37"/>
      </w:rPr>
      <w:instrText xml:space="preserve">PAGE  </w:instrText>
    </w:r>
    <w:r>
      <w:fldChar w:fldCharType="separate"/>
    </w:r>
    <w:r>
      <w:rPr>
        <w:rStyle w:val="37"/>
      </w:rPr>
      <w:t>50</w:t>
    </w:r>
    <w:r>
      <w:fldChar w:fldCharType="end"/>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7"/>
        <w:sz w:val="21"/>
      </w:rPr>
    </w:pPr>
    <w:r>
      <w:rPr>
        <w:sz w:val="21"/>
      </w:rPr>
      <w:fldChar w:fldCharType="begin"/>
    </w:r>
    <w:r>
      <w:rPr>
        <w:rStyle w:val="37"/>
        <w:sz w:val="21"/>
      </w:rPr>
      <w:instrText xml:space="preserve">PAGE  </w:instrText>
    </w:r>
    <w:r>
      <w:rPr>
        <w:sz w:val="21"/>
      </w:rPr>
      <w:fldChar w:fldCharType="separate"/>
    </w:r>
    <w:r>
      <w:rPr>
        <w:rStyle w:val="37"/>
        <w:sz w:val="21"/>
      </w:rPr>
      <w:t>34</w:t>
    </w:r>
    <w:r>
      <w:rPr>
        <w:sz w:val="21"/>
      </w:rPr>
      <w:fldChar w:fldCharType="end"/>
    </w:r>
  </w:p>
  <w:p>
    <w:pPr>
      <w:pStyle w:val="22"/>
      <w:rPr>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color w:val="FF0000"/>
      </w:rPr>
    </w:pPr>
    <w:r>
      <w:rPr>
        <w:rFonts w:hint="eastAsia"/>
      </w:rPr>
      <w:t xml:space="preserve"> 连云港市政府采购中心                                                                           公开招标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AF4D57"/>
    <w:multiLevelType w:val="singleLevel"/>
    <w:tmpl w:val="94AF4D57"/>
    <w:lvl w:ilvl="0" w:tentative="0">
      <w:start w:val="1"/>
      <w:numFmt w:val="decimal"/>
      <w:lvlText w:val="%1."/>
      <w:lvlJc w:val="left"/>
      <w:pPr>
        <w:tabs>
          <w:tab w:val="left" w:pos="312"/>
        </w:tabs>
      </w:pPr>
    </w:lvl>
  </w:abstractNum>
  <w:abstractNum w:abstractNumId="1">
    <w:nsid w:val="E7C15FEA"/>
    <w:multiLevelType w:val="singleLevel"/>
    <w:tmpl w:val="E7C15FEA"/>
    <w:lvl w:ilvl="0" w:tentative="0">
      <w:start w:val="1"/>
      <w:numFmt w:val="decimal"/>
      <w:lvlText w:val="%1."/>
      <w:lvlJc w:val="left"/>
      <w:pPr>
        <w:tabs>
          <w:tab w:val="left" w:pos="312"/>
        </w:tabs>
      </w:pPr>
    </w:lvl>
  </w:abstractNum>
  <w:abstractNum w:abstractNumId="2">
    <w:nsid w:val="20B6157B"/>
    <w:multiLevelType w:val="multilevel"/>
    <w:tmpl w:val="20B6157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0D07223"/>
    <w:multiLevelType w:val="multilevel"/>
    <w:tmpl w:val="20D07223"/>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B364E5"/>
    <w:multiLevelType w:val="multilevel"/>
    <w:tmpl w:val="22B364E5"/>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43F43525"/>
    <w:multiLevelType w:val="multilevel"/>
    <w:tmpl w:val="43F43525"/>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44AAA552"/>
    <w:multiLevelType w:val="singleLevel"/>
    <w:tmpl w:val="44AAA552"/>
    <w:lvl w:ilvl="0" w:tentative="0">
      <w:start w:val="1"/>
      <w:numFmt w:val="decimal"/>
      <w:suff w:val="nothing"/>
      <w:lvlText w:val="%1）"/>
      <w:lvlJc w:val="left"/>
    </w:lvl>
  </w:abstractNum>
  <w:abstractNum w:abstractNumId="7">
    <w:nsid w:val="4A3700A7"/>
    <w:multiLevelType w:val="singleLevel"/>
    <w:tmpl w:val="4A3700A7"/>
    <w:lvl w:ilvl="0" w:tentative="0">
      <w:start w:val="1"/>
      <w:numFmt w:val="decimal"/>
      <w:suff w:val="space"/>
      <w:lvlText w:val="%1."/>
      <w:lvlJc w:val="left"/>
    </w:lvl>
  </w:abstractNum>
  <w:abstractNum w:abstractNumId="8">
    <w:nsid w:val="54F912A5"/>
    <w:multiLevelType w:val="multilevel"/>
    <w:tmpl w:val="54F912A5"/>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5"/>
  </w:num>
  <w:num w:numId="3">
    <w:abstractNumId w:val="4"/>
  </w:num>
  <w:num w:numId="4">
    <w:abstractNumId w:val="3"/>
  </w:num>
  <w:num w:numId="5">
    <w:abstractNumId w:val="8"/>
  </w:num>
  <w:num w:numId="6">
    <w:abstractNumId w:val="0"/>
  </w:num>
  <w:num w:numId="7">
    <w:abstractNumId w:val="7"/>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0F"/>
    <w:rsid w:val="000009C9"/>
    <w:rsid w:val="000049DD"/>
    <w:rsid w:val="00004BE3"/>
    <w:rsid w:val="0000565B"/>
    <w:rsid w:val="00005F6E"/>
    <w:rsid w:val="000078C6"/>
    <w:rsid w:val="0001048A"/>
    <w:rsid w:val="00010D65"/>
    <w:rsid w:val="00011383"/>
    <w:rsid w:val="00014055"/>
    <w:rsid w:val="0001421E"/>
    <w:rsid w:val="0001447E"/>
    <w:rsid w:val="00014898"/>
    <w:rsid w:val="00014A21"/>
    <w:rsid w:val="00015994"/>
    <w:rsid w:val="000159CC"/>
    <w:rsid w:val="00016429"/>
    <w:rsid w:val="000166EB"/>
    <w:rsid w:val="00017AC2"/>
    <w:rsid w:val="00020873"/>
    <w:rsid w:val="0002166E"/>
    <w:rsid w:val="000216C9"/>
    <w:rsid w:val="000226C6"/>
    <w:rsid w:val="000231AA"/>
    <w:rsid w:val="00024D2B"/>
    <w:rsid w:val="0002520E"/>
    <w:rsid w:val="0002610D"/>
    <w:rsid w:val="00026791"/>
    <w:rsid w:val="000277F7"/>
    <w:rsid w:val="0003533B"/>
    <w:rsid w:val="0003544E"/>
    <w:rsid w:val="00037F6F"/>
    <w:rsid w:val="00040681"/>
    <w:rsid w:val="000419AF"/>
    <w:rsid w:val="000426D4"/>
    <w:rsid w:val="00044AB1"/>
    <w:rsid w:val="0004574F"/>
    <w:rsid w:val="00045A7E"/>
    <w:rsid w:val="00045C69"/>
    <w:rsid w:val="000470D8"/>
    <w:rsid w:val="0004755B"/>
    <w:rsid w:val="0005057A"/>
    <w:rsid w:val="0005179F"/>
    <w:rsid w:val="000536D8"/>
    <w:rsid w:val="00054ACB"/>
    <w:rsid w:val="000558CE"/>
    <w:rsid w:val="00060254"/>
    <w:rsid w:val="000604FC"/>
    <w:rsid w:val="000633ED"/>
    <w:rsid w:val="00063DE0"/>
    <w:rsid w:val="00063FBB"/>
    <w:rsid w:val="0006563F"/>
    <w:rsid w:val="00067148"/>
    <w:rsid w:val="00067C14"/>
    <w:rsid w:val="00070420"/>
    <w:rsid w:val="0007065D"/>
    <w:rsid w:val="000714B4"/>
    <w:rsid w:val="00072572"/>
    <w:rsid w:val="0007276C"/>
    <w:rsid w:val="000733C5"/>
    <w:rsid w:val="000738EC"/>
    <w:rsid w:val="00074D57"/>
    <w:rsid w:val="00074E8E"/>
    <w:rsid w:val="00076004"/>
    <w:rsid w:val="000778DD"/>
    <w:rsid w:val="00082F51"/>
    <w:rsid w:val="000830D2"/>
    <w:rsid w:val="000835B4"/>
    <w:rsid w:val="00083E2E"/>
    <w:rsid w:val="00086D51"/>
    <w:rsid w:val="00087517"/>
    <w:rsid w:val="000916BE"/>
    <w:rsid w:val="00091CFB"/>
    <w:rsid w:val="0009233B"/>
    <w:rsid w:val="00093BFC"/>
    <w:rsid w:val="00095703"/>
    <w:rsid w:val="0009661C"/>
    <w:rsid w:val="00096D3B"/>
    <w:rsid w:val="00097192"/>
    <w:rsid w:val="00097193"/>
    <w:rsid w:val="00097DAE"/>
    <w:rsid w:val="000A13E8"/>
    <w:rsid w:val="000A1588"/>
    <w:rsid w:val="000A2BD4"/>
    <w:rsid w:val="000A5869"/>
    <w:rsid w:val="000A5D21"/>
    <w:rsid w:val="000A6BFF"/>
    <w:rsid w:val="000A72D1"/>
    <w:rsid w:val="000A7DFF"/>
    <w:rsid w:val="000B1071"/>
    <w:rsid w:val="000B21DD"/>
    <w:rsid w:val="000B24E4"/>
    <w:rsid w:val="000B47E4"/>
    <w:rsid w:val="000B696E"/>
    <w:rsid w:val="000D128A"/>
    <w:rsid w:val="000D15AA"/>
    <w:rsid w:val="000D2509"/>
    <w:rsid w:val="000D6D62"/>
    <w:rsid w:val="000E1A4A"/>
    <w:rsid w:val="000E1D89"/>
    <w:rsid w:val="000E28FC"/>
    <w:rsid w:val="000E303B"/>
    <w:rsid w:val="000E3049"/>
    <w:rsid w:val="000E3300"/>
    <w:rsid w:val="000E3952"/>
    <w:rsid w:val="000E39D1"/>
    <w:rsid w:val="000E4251"/>
    <w:rsid w:val="000E44B8"/>
    <w:rsid w:val="000E5EA5"/>
    <w:rsid w:val="000E66CD"/>
    <w:rsid w:val="000E6A5A"/>
    <w:rsid w:val="000E74CA"/>
    <w:rsid w:val="000F0772"/>
    <w:rsid w:val="000F0B6C"/>
    <w:rsid w:val="000F347E"/>
    <w:rsid w:val="000F5339"/>
    <w:rsid w:val="000F6325"/>
    <w:rsid w:val="000F73B3"/>
    <w:rsid w:val="001005C7"/>
    <w:rsid w:val="0010289C"/>
    <w:rsid w:val="00102B9B"/>
    <w:rsid w:val="001031ED"/>
    <w:rsid w:val="00106C03"/>
    <w:rsid w:val="00107632"/>
    <w:rsid w:val="00112AB5"/>
    <w:rsid w:val="00113A30"/>
    <w:rsid w:val="00114404"/>
    <w:rsid w:val="00116EEB"/>
    <w:rsid w:val="00117C1E"/>
    <w:rsid w:val="00117E34"/>
    <w:rsid w:val="00122582"/>
    <w:rsid w:val="00124435"/>
    <w:rsid w:val="001244D8"/>
    <w:rsid w:val="001249FB"/>
    <w:rsid w:val="00126417"/>
    <w:rsid w:val="001314E4"/>
    <w:rsid w:val="0013167B"/>
    <w:rsid w:val="00131FC9"/>
    <w:rsid w:val="001333AB"/>
    <w:rsid w:val="00133888"/>
    <w:rsid w:val="00133C52"/>
    <w:rsid w:val="001353A4"/>
    <w:rsid w:val="00135D0D"/>
    <w:rsid w:val="00140F8B"/>
    <w:rsid w:val="0014132F"/>
    <w:rsid w:val="00141F76"/>
    <w:rsid w:val="00142DF8"/>
    <w:rsid w:val="001471AC"/>
    <w:rsid w:val="0015067A"/>
    <w:rsid w:val="00152189"/>
    <w:rsid w:val="00153211"/>
    <w:rsid w:val="001566F8"/>
    <w:rsid w:val="0015790D"/>
    <w:rsid w:val="00160215"/>
    <w:rsid w:val="00161C4F"/>
    <w:rsid w:val="00163E9A"/>
    <w:rsid w:val="0016577B"/>
    <w:rsid w:val="00167CBA"/>
    <w:rsid w:val="001729BB"/>
    <w:rsid w:val="00173CC9"/>
    <w:rsid w:val="00174EF2"/>
    <w:rsid w:val="00175776"/>
    <w:rsid w:val="001767E1"/>
    <w:rsid w:val="001767EA"/>
    <w:rsid w:val="00177213"/>
    <w:rsid w:val="00177698"/>
    <w:rsid w:val="00180F28"/>
    <w:rsid w:val="001815C7"/>
    <w:rsid w:val="00181967"/>
    <w:rsid w:val="00182525"/>
    <w:rsid w:val="00183B40"/>
    <w:rsid w:val="00184B3A"/>
    <w:rsid w:val="001856A9"/>
    <w:rsid w:val="001875B1"/>
    <w:rsid w:val="00190B17"/>
    <w:rsid w:val="0019161C"/>
    <w:rsid w:val="00197046"/>
    <w:rsid w:val="001A1E75"/>
    <w:rsid w:val="001A373A"/>
    <w:rsid w:val="001A3A98"/>
    <w:rsid w:val="001B427F"/>
    <w:rsid w:val="001B72A9"/>
    <w:rsid w:val="001C21B1"/>
    <w:rsid w:val="001C38C5"/>
    <w:rsid w:val="001C4B6D"/>
    <w:rsid w:val="001C4CA1"/>
    <w:rsid w:val="001C64D0"/>
    <w:rsid w:val="001D0D91"/>
    <w:rsid w:val="001D1848"/>
    <w:rsid w:val="001D2D74"/>
    <w:rsid w:val="001D318A"/>
    <w:rsid w:val="001D491B"/>
    <w:rsid w:val="001D53CD"/>
    <w:rsid w:val="001D6B34"/>
    <w:rsid w:val="001D70FF"/>
    <w:rsid w:val="001E0218"/>
    <w:rsid w:val="001E12FF"/>
    <w:rsid w:val="001E35F9"/>
    <w:rsid w:val="001E4460"/>
    <w:rsid w:val="001E6B2D"/>
    <w:rsid w:val="001E7B6B"/>
    <w:rsid w:val="001F0348"/>
    <w:rsid w:val="001F3D1E"/>
    <w:rsid w:val="001F4CE9"/>
    <w:rsid w:val="001F4F2D"/>
    <w:rsid w:val="001F5FA5"/>
    <w:rsid w:val="002045BC"/>
    <w:rsid w:val="00210036"/>
    <w:rsid w:val="002101C0"/>
    <w:rsid w:val="0021141B"/>
    <w:rsid w:val="00211FCF"/>
    <w:rsid w:val="00212691"/>
    <w:rsid w:val="002134D9"/>
    <w:rsid w:val="00215767"/>
    <w:rsid w:val="00216249"/>
    <w:rsid w:val="00217088"/>
    <w:rsid w:val="002201DE"/>
    <w:rsid w:val="0022106D"/>
    <w:rsid w:val="00223974"/>
    <w:rsid w:val="002246D4"/>
    <w:rsid w:val="00225F5A"/>
    <w:rsid w:val="00226784"/>
    <w:rsid w:val="002277C2"/>
    <w:rsid w:val="00232FB4"/>
    <w:rsid w:val="00233362"/>
    <w:rsid w:val="00234574"/>
    <w:rsid w:val="002350EC"/>
    <w:rsid w:val="00236D1F"/>
    <w:rsid w:val="0023778B"/>
    <w:rsid w:val="002443F0"/>
    <w:rsid w:val="00247085"/>
    <w:rsid w:val="00247E64"/>
    <w:rsid w:val="002509F2"/>
    <w:rsid w:val="00252180"/>
    <w:rsid w:val="002526D8"/>
    <w:rsid w:val="00252FD1"/>
    <w:rsid w:val="00253B40"/>
    <w:rsid w:val="00255614"/>
    <w:rsid w:val="00255980"/>
    <w:rsid w:val="00255D7A"/>
    <w:rsid w:val="00256283"/>
    <w:rsid w:val="00256FCD"/>
    <w:rsid w:val="002605D4"/>
    <w:rsid w:val="00261FD7"/>
    <w:rsid w:val="002630E6"/>
    <w:rsid w:val="0026777A"/>
    <w:rsid w:val="00272827"/>
    <w:rsid w:val="00272B35"/>
    <w:rsid w:val="0027380F"/>
    <w:rsid w:val="00274417"/>
    <w:rsid w:val="002762A3"/>
    <w:rsid w:val="0027745D"/>
    <w:rsid w:val="0028094E"/>
    <w:rsid w:val="002829D2"/>
    <w:rsid w:val="00284FCB"/>
    <w:rsid w:val="00286A65"/>
    <w:rsid w:val="002877B4"/>
    <w:rsid w:val="0029203A"/>
    <w:rsid w:val="00292775"/>
    <w:rsid w:val="0029283A"/>
    <w:rsid w:val="00294F16"/>
    <w:rsid w:val="002A0E20"/>
    <w:rsid w:val="002A224C"/>
    <w:rsid w:val="002A247F"/>
    <w:rsid w:val="002A6BD5"/>
    <w:rsid w:val="002A6CB7"/>
    <w:rsid w:val="002A6E70"/>
    <w:rsid w:val="002A7E54"/>
    <w:rsid w:val="002A7F30"/>
    <w:rsid w:val="002B3161"/>
    <w:rsid w:val="002B40D4"/>
    <w:rsid w:val="002B6C18"/>
    <w:rsid w:val="002C010F"/>
    <w:rsid w:val="002C09AE"/>
    <w:rsid w:val="002C0A2D"/>
    <w:rsid w:val="002C1DF0"/>
    <w:rsid w:val="002C2559"/>
    <w:rsid w:val="002C3490"/>
    <w:rsid w:val="002C59B3"/>
    <w:rsid w:val="002C765B"/>
    <w:rsid w:val="002D1111"/>
    <w:rsid w:val="002D1C2A"/>
    <w:rsid w:val="002D2CD9"/>
    <w:rsid w:val="002D3FC1"/>
    <w:rsid w:val="002D52B9"/>
    <w:rsid w:val="002D65A8"/>
    <w:rsid w:val="002D7AFE"/>
    <w:rsid w:val="002E18FC"/>
    <w:rsid w:val="002E293F"/>
    <w:rsid w:val="002E3DA1"/>
    <w:rsid w:val="002E4846"/>
    <w:rsid w:val="002E48AC"/>
    <w:rsid w:val="002F1CFA"/>
    <w:rsid w:val="002F2709"/>
    <w:rsid w:val="002F2BFC"/>
    <w:rsid w:val="002F3923"/>
    <w:rsid w:val="002F459F"/>
    <w:rsid w:val="002F5296"/>
    <w:rsid w:val="002F70B1"/>
    <w:rsid w:val="002F7776"/>
    <w:rsid w:val="003009F7"/>
    <w:rsid w:val="00301102"/>
    <w:rsid w:val="003029D5"/>
    <w:rsid w:val="00303C71"/>
    <w:rsid w:val="00303E27"/>
    <w:rsid w:val="0030523D"/>
    <w:rsid w:val="00305997"/>
    <w:rsid w:val="00305B03"/>
    <w:rsid w:val="003061C9"/>
    <w:rsid w:val="00306B64"/>
    <w:rsid w:val="003076D2"/>
    <w:rsid w:val="0031024B"/>
    <w:rsid w:val="00310959"/>
    <w:rsid w:val="0031273F"/>
    <w:rsid w:val="00313D75"/>
    <w:rsid w:val="00315685"/>
    <w:rsid w:val="00320263"/>
    <w:rsid w:val="00320357"/>
    <w:rsid w:val="00321D34"/>
    <w:rsid w:val="00321DB1"/>
    <w:rsid w:val="00322279"/>
    <w:rsid w:val="00325BCB"/>
    <w:rsid w:val="0032621B"/>
    <w:rsid w:val="00330DAC"/>
    <w:rsid w:val="00331232"/>
    <w:rsid w:val="003332EF"/>
    <w:rsid w:val="003360B9"/>
    <w:rsid w:val="00336356"/>
    <w:rsid w:val="00337F2A"/>
    <w:rsid w:val="003409DB"/>
    <w:rsid w:val="00340DCD"/>
    <w:rsid w:val="00342C82"/>
    <w:rsid w:val="00342D31"/>
    <w:rsid w:val="00342EDE"/>
    <w:rsid w:val="003441CB"/>
    <w:rsid w:val="003441E1"/>
    <w:rsid w:val="003446AD"/>
    <w:rsid w:val="00346305"/>
    <w:rsid w:val="00347526"/>
    <w:rsid w:val="00347CD3"/>
    <w:rsid w:val="00347D61"/>
    <w:rsid w:val="00352DA7"/>
    <w:rsid w:val="00352E3C"/>
    <w:rsid w:val="00353261"/>
    <w:rsid w:val="00357468"/>
    <w:rsid w:val="00357BB4"/>
    <w:rsid w:val="00357D20"/>
    <w:rsid w:val="00361DDA"/>
    <w:rsid w:val="0036244B"/>
    <w:rsid w:val="00363F78"/>
    <w:rsid w:val="003671CD"/>
    <w:rsid w:val="0037216A"/>
    <w:rsid w:val="00372489"/>
    <w:rsid w:val="0037355D"/>
    <w:rsid w:val="00373616"/>
    <w:rsid w:val="003738DB"/>
    <w:rsid w:val="00374C44"/>
    <w:rsid w:val="00374CCE"/>
    <w:rsid w:val="00377499"/>
    <w:rsid w:val="00377EA5"/>
    <w:rsid w:val="00380902"/>
    <w:rsid w:val="00382C3D"/>
    <w:rsid w:val="003836AE"/>
    <w:rsid w:val="00383926"/>
    <w:rsid w:val="00385F77"/>
    <w:rsid w:val="00393933"/>
    <w:rsid w:val="00393E0F"/>
    <w:rsid w:val="0039491E"/>
    <w:rsid w:val="00394C03"/>
    <w:rsid w:val="003953F8"/>
    <w:rsid w:val="00396620"/>
    <w:rsid w:val="0039776C"/>
    <w:rsid w:val="003A129A"/>
    <w:rsid w:val="003A3589"/>
    <w:rsid w:val="003A4325"/>
    <w:rsid w:val="003A6188"/>
    <w:rsid w:val="003B0767"/>
    <w:rsid w:val="003B1BCA"/>
    <w:rsid w:val="003B1CFA"/>
    <w:rsid w:val="003B2065"/>
    <w:rsid w:val="003B2223"/>
    <w:rsid w:val="003B4C93"/>
    <w:rsid w:val="003B7D40"/>
    <w:rsid w:val="003C0EA9"/>
    <w:rsid w:val="003C0FE8"/>
    <w:rsid w:val="003C3AD6"/>
    <w:rsid w:val="003C58C5"/>
    <w:rsid w:val="003D1312"/>
    <w:rsid w:val="003D1B47"/>
    <w:rsid w:val="003D414C"/>
    <w:rsid w:val="003D42EE"/>
    <w:rsid w:val="003D5DBB"/>
    <w:rsid w:val="003D7E53"/>
    <w:rsid w:val="003E5499"/>
    <w:rsid w:val="003E5FE1"/>
    <w:rsid w:val="003E73E0"/>
    <w:rsid w:val="003E7F23"/>
    <w:rsid w:val="003F0F88"/>
    <w:rsid w:val="003F18FD"/>
    <w:rsid w:val="003F1DEF"/>
    <w:rsid w:val="003F27E7"/>
    <w:rsid w:val="003F46FE"/>
    <w:rsid w:val="003F479F"/>
    <w:rsid w:val="003F5BE0"/>
    <w:rsid w:val="003F7642"/>
    <w:rsid w:val="003F7C3E"/>
    <w:rsid w:val="00400318"/>
    <w:rsid w:val="00400B64"/>
    <w:rsid w:val="00405781"/>
    <w:rsid w:val="0040675E"/>
    <w:rsid w:val="00410845"/>
    <w:rsid w:val="00411939"/>
    <w:rsid w:val="00411A45"/>
    <w:rsid w:val="00412E69"/>
    <w:rsid w:val="004136AE"/>
    <w:rsid w:val="0041446A"/>
    <w:rsid w:val="00414FD3"/>
    <w:rsid w:val="004239B9"/>
    <w:rsid w:val="00425479"/>
    <w:rsid w:val="004260FC"/>
    <w:rsid w:val="00426295"/>
    <w:rsid w:val="004273D3"/>
    <w:rsid w:val="00430847"/>
    <w:rsid w:val="00431E5D"/>
    <w:rsid w:val="0043397F"/>
    <w:rsid w:val="0043767F"/>
    <w:rsid w:val="00442933"/>
    <w:rsid w:val="00443947"/>
    <w:rsid w:val="00443AA3"/>
    <w:rsid w:val="00444206"/>
    <w:rsid w:val="00444F82"/>
    <w:rsid w:val="0044616E"/>
    <w:rsid w:val="00446B56"/>
    <w:rsid w:val="00447F0B"/>
    <w:rsid w:val="004520B0"/>
    <w:rsid w:val="00452540"/>
    <w:rsid w:val="00453F58"/>
    <w:rsid w:val="00453FC7"/>
    <w:rsid w:val="00454956"/>
    <w:rsid w:val="00455B2E"/>
    <w:rsid w:val="00455EE2"/>
    <w:rsid w:val="004567D3"/>
    <w:rsid w:val="0045713E"/>
    <w:rsid w:val="00460B9D"/>
    <w:rsid w:val="004615EC"/>
    <w:rsid w:val="00461D74"/>
    <w:rsid w:val="00461F37"/>
    <w:rsid w:val="0046238F"/>
    <w:rsid w:val="00462984"/>
    <w:rsid w:val="00464FB4"/>
    <w:rsid w:val="00465F16"/>
    <w:rsid w:val="00476D29"/>
    <w:rsid w:val="00481224"/>
    <w:rsid w:val="004832C3"/>
    <w:rsid w:val="00483B3B"/>
    <w:rsid w:val="0048493D"/>
    <w:rsid w:val="00490E17"/>
    <w:rsid w:val="00490EBE"/>
    <w:rsid w:val="0049166B"/>
    <w:rsid w:val="00491BA1"/>
    <w:rsid w:val="00491CC6"/>
    <w:rsid w:val="00493447"/>
    <w:rsid w:val="00495A83"/>
    <w:rsid w:val="00497451"/>
    <w:rsid w:val="00497F0B"/>
    <w:rsid w:val="004A0F34"/>
    <w:rsid w:val="004A3A82"/>
    <w:rsid w:val="004A3EFF"/>
    <w:rsid w:val="004A42B1"/>
    <w:rsid w:val="004A5E17"/>
    <w:rsid w:val="004B3907"/>
    <w:rsid w:val="004B3A8A"/>
    <w:rsid w:val="004B3BB4"/>
    <w:rsid w:val="004B49A1"/>
    <w:rsid w:val="004B4F3C"/>
    <w:rsid w:val="004B62FD"/>
    <w:rsid w:val="004B662E"/>
    <w:rsid w:val="004B6977"/>
    <w:rsid w:val="004C0424"/>
    <w:rsid w:val="004C32BB"/>
    <w:rsid w:val="004C53F6"/>
    <w:rsid w:val="004C6B5A"/>
    <w:rsid w:val="004C7DFE"/>
    <w:rsid w:val="004D0168"/>
    <w:rsid w:val="004D1890"/>
    <w:rsid w:val="004D1CBC"/>
    <w:rsid w:val="004D26A1"/>
    <w:rsid w:val="004D3D5B"/>
    <w:rsid w:val="004D6BB6"/>
    <w:rsid w:val="004D6C8B"/>
    <w:rsid w:val="004E10ED"/>
    <w:rsid w:val="004E14A0"/>
    <w:rsid w:val="004E271B"/>
    <w:rsid w:val="004E2B2F"/>
    <w:rsid w:val="004E3F25"/>
    <w:rsid w:val="004E4FD6"/>
    <w:rsid w:val="004E5111"/>
    <w:rsid w:val="004E6A6C"/>
    <w:rsid w:val="004E73E5"/>
    <w:rsid w:val="004F16B0"/>
    <w:rsid w:val="004F2609"/>
    <w:rsid w:val="004F45A2"/>
    <w:rsid w:val="004F6203"/>
    <w:rsid w:val="004F6FDD"/>
    <w:rsid w:val="005003F6"/>
    <w:rsid w:val="005011C7"/>
    <w:rsid w:val="00502F6A"/>
    <w:rsid w:val="00503555"/>
    <w:rsid w:val="00503B22"/>
    <w:rsid w:val="00503DA2"/>
    <w:rsid w:val="0050613D"/>
    <w:rsid w:val="00507F9E"/>
    <w:rsid w:val="00510B45"/>
    <w:rsid w:val="0051508A"/>
    <w:rsid w:val="005171CA"/>
    <w:rsid w:val="00517E9A"/>
    <w:rsid w:val="005201A2"/>
    <w:rsid w:val="00521975"/>
    <w:rsid w:val="00522841"/>
    <w:rsid w:val="00523068"/>
    <w:rsid w:val="005234E0"/>
    <w:rsid w:val="005238C9"/>
    <w:rsid w:val="00525EAE"/>
    <w:rsid w:val="00526F86"/>
    <w:rsid w:val="00527851"/>
    <w:rsid w:val="00532032"/>
    <w:rsid w:val="00532884"/>
    <w:rsid w:val="00534A06"/>
    <w:rsid w:val="005401D6"/>
    <w:rsid w:val="00540F48"/>
    <w:rsid w:val="00542D8A"/>
    <w:rsid w:val="005430F3"/>
    <w:rsid w:val="005433AF"/>
    <w:rsid w:val="0054356B"/>
    <w:rsid w:val="00544B99"/>
    <w:rsid w:val="00544C71"/>
    <w:rsid w:val="00545387"/>
    <w:rsid w:val="00546449"/>
    <w:rsid w:val="0055144B"/>
    <w:rsid w:val="005517F7"/>
    <w:rsid w:val="00554099"/>
    <w:rsid w:val="00556A43"/>
    <w:rsid w:val="00561044"/>
    <w:rsid w:val="0056180C"/>
    <w:rsid w:val="005625B4"/>
    <w:rsid w:val="00563C81"/>
    <w:rsid w:val="00563EE6"/>
    <w:rsid w:val="00567A4A"/>
    <w:rsid w:val="00570F1E"/>
    <w:rsid w:val="00571A81"/>
    <w:rsid w:val="00574402"/>
    <w:rsid w:val="00575FED"/>
    <w:rsid w:val="00580994"/>
    <w:rsid w:val="00580DD2"/>
    <w:rsid w:val="00581D4D"/>
    <w:rsid w:val="00581E48"/>
    <w:rsid w:val="00583841"/>
    <w:rsid w:val="0058489D"/>
    <w:rsid w:val="00584A71"/>
    <w:rsid w:val="00584FDF"/>
    <w:rsid w:val="005859A1"/>
    <w:rsid w:val="005901E9"/>
    <w:rsid w:val="00590E7C"/>
    <w:rsid w:val="0059223C"/>
    <w:rsid w:val="00592B7C"/>
    <w:rsid w:val="00593FE1"/>
    <w:rsid w:val="00597797"/>
    <w:rsid w:val="005A06A8"/>
    <w:rsid w:val="005A1B39"/>
    <w:rsid w:val="005A2C42"/>
    <w:rsid w:val="005A3966"/>
    <w:rsid w:val="005A4D35"/>
    <w:rsid w:val="005A56B7"/>
    <w:rsid w:val="005A5C80"/>
    <w:rsid w:val="005A76DE"/>
    <w:rsid w:val="005B1476"/>
    <w:rsid w:val="005B354E"/>
    <w:rsid w:val="005B3BBB"/>
    <w:rsid w:val="005B50A7"/>
    <w:rsid w:val="005B5CE2"/>
    <w:rsid w:val="005C282A"/>
    <w:rsid w:val="005C3B4B"/>
    <w:rsid w:val="005C4C71"/>
    <w:rsid w:val="005C551D"/>
    <w:rsid w:val="005D0872"/>
    <w:rsid w:val="005D2075"/>
    <w:rsid w:val="005D25FD"/>
    <w:rsid w:val="005D3279"/>
    <w:rsid w:val="005D46A2"/>
    <w:rsid w:val="005D66BF"/>
    <w:rsid w:val="005D682F"/>
    <w:rsid w:val="005E149A"/>
    <w:rsid w:val="005E1829"/>
    <w:rsid w:val="005E22D6"/>
    <w:rsid w:val="005E2AA9"/>
    <w:rsid w:val="005E4DD2"/>
    <w:rsid w:val="005E5B49"/>
    <w:rsid w:val="005E6997"/>
    <w:rsid w:val="005E7E4E"/>
    <w:rsid w:val="005F1C36"/>
    <w:rsid w:val="005F5B14"/>
    <w:rsid w:val="00600D9F"/>
    <w:rsid w:val="006013CB"/>
    <w:rsid w:val="00601FE0"/>
    <w:rsid w:val="006024F9"/>
    <w:rsid w:val="00603FB5"/>
    <w:rsid w:val="00605C0B"/>
    <w:rsid w:val="0060650F"/>
    <w:rsid w:val="00606549"/>
    <w:rsid w:val="00615D3C"/>
    <w:rsid w:val="0061668A"/>
    <w:rsid w:val="00616980"/>
    <w:rsid w:val="00617E03"/>
    <w:rsid w:val="006216F3"/>
    <w:rsid w:val="00621E02"/>
    <w:rsid w:val="006308D7"/>
    <w:rsid w:val="00630B70"/>
    <w:rsid w:val="00631931"/>
    <w:rsid w:val="00632F0B"/>
    <w:rsid w:val="00633553"/>
    <w:rsid w:val="00634E6D"/>
    <w:rsid w:val="00635F96"/>
    <w:rsid w:val="006364A6"/>
    <w:rsid w:val="006365A9"/>
    <w:rsid w:val="006373E2"/>
    <w:rsid w:val="00640D08"/>
    <w:rsid w:val="00644287"/>
    <w:rsid w:val="00644B0E"/>
    <w:rsid w:val="00644FA1"/>
    <w:rsid w:val="00646A1B"/>
    <w:rsid w:val="00647402"/>
    <w:rsid w:val="00650CF8"/>
    <w:rsid w:val="00652848"/>
    <w:rsid w:val="006534D3"/>
    <w:rsid w:val="00654796"/>
    <w:rsid w:val="00654C4A"/>
    <w:rsid w:val="0065549B"/>
    <w:rsid w:val="00655619"/>
    <w:rsid w:val="00656899"/>
    <w:rsid w:val="00656DC3"/>
    <w:rsid w:val="00657659"/>
    <w:rsid w:val="006579DF"/>
    <w:rsid w:val="00662603"/>
    <w:rsid w:val="00662E6F"/>
    <w:rsid w:val="0066322B"/>
    <w:rsid w:val="00664BBE"/>
    <w:rsid w:val="006669BD"/>
    <w:rsid w:val="0066736A"/>
    <w:rsid w:val="00670909"/>
    <w:rsid w:val="00671508"/>
    <w:rsid w:val="0067255F"/>
    <w:rsid w:val="006727AA"/>
    <w:rsid w:val="00673E42"/>
    <w:rsid w:val="006801B1"/>
    <w:rsid w:val="00680531"/>
    <w:rsid w:val="00683C3B"/>
    <w:rsid w:val="00684C49"/>
    <w:rsid w:val="00685155"/>
    <w:rsid w:val="006859A0"/>
    <w:rsid w:val="00690180"/>
    <w:rsid w:val="00690238"/>
    <w:rsid w:val="0069058E"/>
    <w:rsid w:val="00691456"/>
    <w:rsid w:val="006927AB"/>
    <w:rsid w:val="00692B92"/>
    <w:rsid w:val="00692F31"/>
    <w:rsid w:val="00693193"/>
    <w:rsid w:val="00695880"/>
    <w:rsid w:val="006974B0"/>
    <w:rsid w:val="00697D18"/>
    <w:rsid w:val="006A3AD7"/>
    <w:rsid w:val="006A4446"/>
    <w:rsid w:val="006A55A3"/>
    <w:rsid w:val="006B050E"/>
    <w:rsid w:val="006B06AC"/>
    <w:rsid w:val="006B0C74"/>
    <w:rsid w:val="006B1A33"/>
    <w:rsid w:val="006B5B7C"/>
    <w:rsid w:val="006B5C4A"/>
    <w:rsid w:val="006C06EB"/>
    <w:rsid w:val="006C0C45"/>
    <w:rsid w:val="006C1294"/>
    <w:rsid w:val="006C1311"/>
    <w:rsid w:val="006C18F9"/>
    <w:rsid w:val="006C2CD4"/>
    <w:rsid w:val="006C39F4"/>
    <w:rsid w:val="006C4147"/>
    <w:rsid w:val="006C470A"/>
    <w:rsid w:val="006C517A"/>
    <w:rsid w:val="006D030F"/>
    <w:rsid w:val="006D3580"/>
    <w:rsid w:val="006D562B"/>
    <w:rsid w:val="006D6E0A"/>
    <w:rsid w:val="006E414B"/>
    <w:rsid w:val="006E42B7"/>
    <w:rsid w:val="006E5A71"/>
    <w:rsid w:val="006E68FF"/>
    <w:rsid w:val="006E69F2"/>
    <w:rsid w:val="006F041F"/>
    <w:rsid w:val="006F1BA6"/>
    <w:rsid w:val="006F3921"/>
    <w:rsid w:val="006F52E6"/>
    <w:rsid w:val="006F531D"/>
    <w:rsid w:val="006F7DB1"/>
    <w:rsid w:val="00703388"/>
    <w:rsid w:val="007043CF"/>
    <w:rsid w:val="00705143"/>
    <w:rsid w:val="007119EC"/>
    <w:rsid w:val="00711E8C"/>
    <w:rsid w:val="00712EB2"/>
    <w:rsid w:val="0071403E"/>
    <w:rsid w:val="00715327"/>
    <w:rsid w:val="00716BF4"/>
    <w:rsid w:val="00716F8A"/>
    <w:rsid w:val="00717550"/>
    <w:rsid w:val="0072061F"/>
    <w:rsid w:val="00720E44"/>
    <w:rsid w:val="0072182E"/>
    <w:rsid w:val="00721FA3"/>
    <w:rsid w:val="00725820"/>
    <w:rsid w:val="00730B14"/>
    <w:rsid w:val="00732C8C"/>
    <w:rsid w:val="00734777"/>
    <w:rsid w:val="00737112"/>
    <w:rsid w:val="00740078"/>
    <w:rsid w:val="00745ADF"/>
    <w:rsid w:val="007472F2"/>
    <w:rsid w:val="0074742A"/>
    <w:rsid w:val="00750236"/>
    <w:rsid w:val="007502DA"/>
    <w:rsid w:val="007519A7"/>
    <w:rsid w:val="00753F91"/>
    <w:rsid w:val="00754ACC"/>
    <w:rsid w:val="00756D46"/>
    <w:rsid w:val="00757AC6"/>
    <w:rsid w:val="007604DD"/>
    <w:rsid w:val="0076068F"/>
    <w:rsid w:val="007608FE"/>
    <w:rsid w:val="007611A4"/>
    <w:rsid w:val="0076144F"/>
    <w:rsid w:val="00761B58"/>
    <w:rsid w:val="00762DA8"/>
    <w:rsid w:val="00764B4F"/>
    <w:rsid w:val="00765464"/>
    <w:rsid w:val="00766A8A"/>
    <w:rsid w:val="00772540"/>
    <w:rsid w:val="007737F1"/>
    <w:rsid w:val="0077477C"/>
    <w:rsid w:val="007749E7"/>
    <w:rsid w:val="00774C05"/>
    <w:rsid w:val="00776870"/>
    <w:rsid w:val="0077791A"/>
    <w:rsid w:val="00777DAE"/>
    <w:rsid w:val="00782AA6"/>
    <w:rsid w:val="00783093"/>
    <w:rsid w:val="00787150"/>
    <w:rsid w:val="00791DB0"/>
    <w:rsid w:val="00791FEE"/>
    <w:rsid w:val="0079259B"/>
    <w:rsid w:val="00792F36"/>
    <w:rsid w:val="007934A1"/>
    <w:rsid w:val="00793A07"/>
    <w:rsid w:val="00794282"/>
    <w:rsid w:val="00795401"/>
    <w:rsid w:val="00796514"/>
    <w:rsid w:val="007A020B"/>
    <w:rsid w:val="007A2FCA"/>
    <w:rsid w:val="007A3519"/>
    <w:rsid w:val="007A3852"/>
    <w:rsid w:val="007A5DCD"/>
    <w:rsid w:val="007B224A"/>
    <w:rsid w:val="007B258E"/>
    <w:rsid w:val="007B26C0"/>
    <w:rsid w:val="007B2745"/>
    <w:rsid w:val="007B2F8A"/>
    <w:rsid w:val="007B4E5B"/>
    <w:rsid w:val="007B7A22"/>
    <w:rsid w:val="007C15B8"/>
    <w:rsid w:val="007C2B20"/>
    <w:rsid w:val="007C33E2"/>
    <w:rsid w:val="007C3524"/>
    <w:rsid w:val="007C47D7"/>
    <w:rsid w:val="007C5ABF"/>
    <w:rsid w:val="007C64FB"/>
    <w:rsid w:val="007D04EC"/>
    <w:rsid w:val="007D0C7D"/>
    <w:rsid w:val="007D4B39"/>
    <w:rsid w:val="007D5614"/>
    <w:rsid w:val="007D6396"/>
    <w:rsid w:val="007D7A50"/>
    <w:rsid w:val="007E021E"/>
    <w:rsid w:val="007E1126"/>
    <w:rsid w:val="007E234F"/>
    <w:rsid w:val="007E284E"/>
    <w:rsid w:val="007E2D19"/>
    <w:rsid w:val="007E4A57"/>
    <w:rsid w:val="007E5C66"/>
    <w:rsid w:val="007E61A8"/>
    <w:rsid w:val="007F01D9"/>
    <w:rsid w:val="007F2188"/>
    <w:rsid w:val="007F351C"/>
    <w:rsid w:val="007F3A1C"/>
    <w:rsid w:val="007F6908"/>
    <w:rsid w:val="007F7BFB"/>
    <w:rsid w:val="008009FC"/>
    <w:rsid w:val="00802F7D"/>
    <w:rsid w:val="00803F87"/>
    <w:rsid w:val="00804670"/>
    <w:rsid w:val="00805D43"/>
    <w:rsid w:val="00806143"/>
    <w:rsid w:val="00806376"/>
    <w:rsid w:val="00806C2C"/>
    <w:rsid w:val="00810EA2"/>
    <w:rsid w:val="0081201C"/>
    <w:rsid w:val="00812060"/>
    <w:rsid w:val="00813E36"/>
    <w:rsid w:val="008156C2"/>
    <w:rsid w:val="00816A62"/>
    <w:rsid w:val="008233D0"/>
    <w:rsid w:val="00823987"/>
    <w:rsid w:val="00823D5C"/>
    <w:rsid w:val="00824FA8"/>
    <w:rsid w:val="00825F12"/>
    <w:rsid w:val="008275BA"/>
    <w:rsid w:val="00830D95"/>
    <w:rsid w:val="0083220A"/>
    <w:rsid w:val="00835155"/>
    <w:rsid w:val="00840F63"/>
    <w:rsid w:val="00841EBE"/>
    <w:rsid w:val="00843D59"/>
    <w:rsid w:val="00845B31"/>
    <w:rsid w:val="008469E9"/>
    <w:rsid w:val="00846E7E"/>
    <w:rsid w:val="0084760A"/>
    <w:rsid w:val="008479BB"/>
    <w:rsid w:val="0085202C"/>
    <w:rsid w:val="008521C2"/>
    <w:rsid w:val="008541A6"/>
    <w:rsid w:val="008545C3"/>
    <w:rsid w:val="00861670"/>
    <w:rsid w:val="0086223A"/>
    <w:rsid w:val="00862F11"/>
    <w:rsid w:val="00863A13"/>
    <w:rsid w:val="00864399"/>
    <w:rsid w:val="008655F6"/>
    <w:rsid w:val="008700AB"/>
    <w:rsid w:val="00870718"/>
    <w:rsid w:val="008710E8"/>
    <w:rsid w:val="00872840"/>
    <w:rsid w:val="0087478F"/>
    <w:rsid w:val="0087783C"/>
    <w:rsid w:val="008802FE"/>
    <w:rsid w:val="0088141B"/>
    <w:rsid w:val="0088362B"/>
    <w:rsid w:val="0088375D"/>
    <w:rsid w:val="00885C87"/>
    <w:rsid w:val="00886641"/>
    <w:rsid w:val="0088689B"/>
    <w:rsid w:val="00886C3C"/>
    <w:rsid w:val="00887778"/>
    <w:rsid w:val="00890DC4"/>
    <w:rsid w:val="00891A87"/>
    <w:rsid w:val="0089291E"/>
    <w:rsid w:val="008A262E"/>
    <w:rsid w:val="008A29E6"/>
    <w:rsid w:val="008A3C92"/>
    <w:rsid w:val="008A5FDB"/>
    <w:rsid w:val="008A71D2"/>
    <w:rsid w:val="008B193A"/>
    <w:rsid w:val="008B1EDA"/>
    <w:rsid w:val="008B4118"/>
    <w:rsid w:val="008B4BA1"/>
    <w:rsid w:val="008B4BB5"/>
    <w:rsid w:val="008B4DF8"/>
    <w:rsid w:val="008B592E"/>
    <w:rsid w:val="008B61AD"/>
    <w:rsid w:val="008B70DB"/>
    <w:rsid w:val="008C31E7"/>
    <w:rsid w:val="008C31E8"/>
    <w:rsid w:val="008C3D66"/>
    <w:rsid w:val="008C692B"/>
    <w:rsid w:val="008C6F97"/>
    <w:rsid w:val="008C6FDB"/>
    <w:rsid w:val="008C7BEF"/>
    <w:rsid w:val="008D23C7"/>
    <w:rsid w:val="008D2832"/>
    <w:rsid w:val="008D4478"/>
    <w:rsid w:val="008D5C9A"/>
    <w:rsid w:val="008E1832"/>
    <w:rsid w:val="008E1CBF"/>
    <w:rsid w:val="008E22B8"/>
    <w:rsid w:val="008E26BC"/>
    <w:rsid w:val="008E354D"/>
    <w:rsid w:val="008E67A4"/>
    <w:rsid w:val="008F168C"/>
    <w:rsid w:val="008F2389"/>
    <w:rsid w:val="008F5EB0"/>
    <w:rsid w:val="009003B6"/>
    <w:rsid w:val="00900B17"/>
    <w:rsid w:val="009014B2"/>
    <w:rsid w:val="00901F55"/>
    <w:rsid w:val="00902122"/>
    <w:rsid w:val="00902FF0"/>
    <w:rsid w:val="00903778"/>
    <w:rsid w:val="00905A8D"/>
    <w:rsid w:val="00906797"/>
    <w:rsid w:val="009108EC"/>
    <w:rsid w:val="009110E7"/>
    <w:rsid w:val="0091267F"/>
    <w:rsid w:val="00912AD0"/>
    <w:rsid w:val="0091449A"/>
    <w:rsid w:val="00914B28"/>
    <w:rsid w:val="00915094"/>
    <w:rsid w:val="00915A57"/>
    <w:rsid w:val="0092138D"/>
    <w:rsid w:val="00921724"/>
    <w:rsid w:val="00922AA5"/>
    <w:rsid w:val="0092364D"/>
    <w:rsid w:val="00923FD4"/>
    <w:rsid w:val="009248CC"/>
    <w:rsid w:val="00925BAC"/>
    <w:rsid w:val="00926E89"/>
    <w:rsid w:val="00930637"/>
    <w:rsid w:val="00930CF2"/>
    <w:rsid w:val="009319AE"/>
    <w:rsid w:val="0093211C"/>
    <w:rsid w:val="009321CE"/>
    <w:rsid w:val="00933270"/>
    <w:rsid w:val="00934ACC"/>
    <w:rsid w:val="00935D91"/>
    <w:rsid w:val="00935EE7"/>
    <w:rsid w:val="009361B0"/>
    <w:rsid w:val="00936B00"/>
    <w:rsid w:val="0093788D"/>
    <w:rsid w:val="009414BE"/>
    <w:rsid w:val="00942C18"/>
    <w:rsid w:val="00942D02"/>
    <w:rsid w:val="00943044"/>
    <w:rsid w:val="00945638"/>
    <w:rsid w:val="00946216"/>
    <w:rsid w:val="00951010"/>
    <w:rsid w:val="00951715"/>
    <w:rsid w:val="00951A81"/>
    <w:rsid w:val="00951B4B"/>
    <w:rsid w:val="00952690"/>
    <w:rsid w:val="00952C04"/>
    <w:rsid w:val="00955CE0"/>
    <w:rsid w:val="009649AE"/>
    <w:rsid w:val="00966AE5"/>
    <w:rsid w:val="00966F3F"/>
    <w:rsid w:val="009711DE"/>
    <w:rsid w:val="00971945"/>
    <w:rsid w:val="00971B73"/>
    <w:rsid w:val="009731D3"/>
    <w:rsid w:val="00973248"/>
    <w:rsid w:val="009740E3"/>
    <w:rsid w:val="009755CE"/>
    <w:rsid w:val="009758F0"/>
    <w:rsid w:val="0098148D"/>
    <w:rsid w:val="00981EB4"/>
    <w:rsid w:val="009828D9"/>
    <w:rsid w:val="00982DAE"/>
    <w:rsid w:val="00982E31"/>
    <w:rsid w:val="00983C89"/>
    <w:rsid w:val="009840D1"/>
    <w:rsid w:val="00984C12"/>
    <w:rsid w:val="009851AB"/>
    <w:rsid w:val="009853F1"/>
    <w:rsid w:val="0098673C"/>
    <w:rsid w:val="00987357"/>
    <w:rsid w:val="00987AED"/>
    <w:rsid w:val="009901E4"/>
    <w:rsid w:val="00991700"/>
    <w:rsid w:val="0099241C"/>
    <w:rsid w:val="00992623"/>
    <w:rsid w:val="00992839"/>
    <w:rsid w:val="009933BA"/>
    <w:rsid w:val="009942C7"/>
    <w:rsid w:val="00994A73"/>
    <w:rsid w:val="0099573F"/>
    <w:rsid w:val="009959E2"/>
    <w:rsid w:val="00995B38"/>
    <w:rsid w:val="00995EF9"/>
    <w:rsid w:val="00997CC4"/>
    <w:rsid w:val="009A09E3"/>
    <w:rsid w:val="009A5DE3"/>
    <w:rsid w:val="009A6154"/>
    <w:rsid w:val="009A7C21"/>
    <w:rsid w:val="009B0D5C"/>
    <w:rsid w:val="009B16E9"/>
    <w:rsid w:val="009B3E19"/>
    <w:rsid w:val="009B4FD7"/>
    <w:rsid w:val="009B6FA2"/>
    <w:rsid w:val="009B6FCB"/>
    <w:rsid w:val="009B703B"/>
    <w:rsid w:val="009B7765"/>
    <w:rsid w:val="009B7F60"/>
    <w:rsid w:val="009C21C6"/>
    <w:rsid w:val="009C3FBE"/>
    <w:rsid w:val="009C4F77"/>
    <w:rsid w:val="009C55B2"/>
    <w:rsid w:val="009C56DC"/>
    <w:rsid w:val="009C7993"/>
    <w:rsid w:val="009C7DA9"/>
    <w:rsid w:val="009D083A"/>
    <w:rsid w:val="009D0CEE"/>
    <w:rsid w:val="009D125E"/>
    <w:rsid w:val="009D40FA"/>
    <w:rsid w:val="009D6BA4"/>
    <w:rsid w:val="009D70DE"/>
    <w:rsid w:val="009D7832"/>
    <w:rsid w:val="009E0B7D"/>
    <w:rsid w:val="009E361D"/>
    <w:rsid w:val="009E4058"/>
    <w:rsid w:val="009E5A51"/>
    <w:rsid w:val="009E656F"/>
    <w:rsid w:val="009E6A04"/>
    <w:rsid w:val="009E6A89"/>
    <w:rsid w:val="009F2A61"/>
    <w:rsid w:val="009F5578"/>
    <w:rsid w:val="009F7428"/>
    <w:rsid w:val="00A01979"/>
    <w:rsid w:val="00A01F64"/>
    <w:rsid w:val="00A02C57"/>
    <w:rsid w:val="00A03E5C"/>
    <w:rsid w:val="00A050BB"/>
    <w:rsid w:val="00A06F88"/>
    <w:rsid w:val="00A07FEE"/>
    <w:rsid w:val="00A14786"/>
    <w:rsid w:val="00A15791"/>
    <w:rsid w:val="00A16AEF"/>
    <w:rsid w:val="00A25A6B"/>
    <w:rsid w:val="00A25DBB"/>
    <w:rsid w:val="00A25E87"/>
    <w:rsid w:val="00A27151"/>
    <w:rsid w:val="00A27B9F"/>
    <w:rsid w:val="00A30B51"/>
    <w:rsid w:val="00A31D2D"/>
    <w:rsid w:val="00A32C20"/>
    <w:rsid w:val="00A345F3"/>
    <w:rsid w:val="00A351A0"/>
    <w:rsid w:val="00A37286"/>
    <w:rsid w:val="00A40700"/>
    <w:rsid w:val="00A413AA"/>
    <w:rsid w:val="00A41DB5"/>
    <w:rsid w:val="00A43CEC"/>
    <w:rsid w:val="00A4636E"/>
    <w:rsid w:val="00A54089"/>
    <w:rsid w:val="00A5502E"/>
    <w:rsid w:val="00A576A0"/>
    <w:rsid w:val="00A57B5B"/>
    <w:rsid w:val="00A6060B"/>
    <w:rsid w:val="00A62DCF"/>
    <w:rsid w:val="00A63C70"/>
    <w:rsid w:val="00A65B88"/>
    <w:rsid w:val="00A702A1"/>
    <w:rsid w:val="00A72DAC"/>
    <w:rsid w:val="00A7505A"/>
    <w:rsid w:val="00A7532D"/>
    <w:rsid w:val="00A75A07"/>
    <w:rsid w:val="00A7679A"/>
    <w:rsid w:val="00A8296A"/>
    <w:rsid w:val="00A82C11"/>
    <w:rsid w:val="00A84798"/>
    <w:rsid w:val="00A8482E"/>
    <w:rsid w:val="00A8547B"/>
    <w:rsid w:val="00A857E6"/>
    <w:rsid w:val="00A85C8A"/>
    <w:rsid w:val="00A8682C"/>
    <w:rsid w:val="00A86C9E"/>
    <w:rsid w:val="00A86DFE"/>
    <w:rsid w:val="00A87178"/>
    <w:rsid w:val="00A90579"/>
    <w:rsid w:val="00A90D2D"/>
    <w:rsid w:val="00A91C7F"/>
    <w:rsid w:val="00A926EA"/>
    <w:rsid w:val="00A92713"/>
    <w:rsid w:val="00A92870"/>
    <w:rsid w:val="00A931B4"/>
    <w:rsid w:val="00A95F81"/>
    <w:rsid w:val="00AA3327"/>
    <w:rsid w:val="00AA3424"/>
    <w:rsid w:val="00AA448E"/>
    <w:rsid w:val="00AA773B"/>
    <w:rsid w:val="00AB15EE"/>
    <w:rsid w:val="00AB1EA3"/>
    <w:rsid w:val="00AB2562"/>
    <w:rsid w:val="00AB624A"/>
    <w:rsid w:val="00AB6E56"/>
    <w:rsid w:val="00AC0ACF"/>
    <w:rsid w:val="00AC1BE1"/>
    <w:rsid w:val="00AC3B2A"/>
    <w:rsid w:val="00AC4ED1"/>
    <w:rsid w:val="00AC4FBA"/>
    <w:rsid w:val="00AD23BA"/>
    <w:rsid w:val="00AD2CAE"/>
    <w:rsid w:val="00AD3121"/>
    <w:rsid w:val="00AD6C46"/>
    <w:rsid w:val="00AD6C71"/>
    <w:rsid w:val="00AE0A17"/>
    <w:rsid w:val="00AE295F"/>
    <w:rsid w:val="00AE33AB"/>
    <w:rsid w:val="00AE58F9"/>
    <w:rsid w:val="00AE5F58"/>
    <w:rsid w:val="00AE7114"/>
    <w:rsid w:val="00AF043A"/>
    <w:rsid w:val="00AF1DFD"/>
    <w:rsid w:val="00AF2B03"/>
    <w:rsid w:val="00AF2EF8"/>
    <w:rsid w:val="00AF459C"/>
    <w:rsid w:val="00AF586B"/>
    <w:rsid w:val="00AF62C5"/>
    <w:rsid w:val="00AF7481"/>
    <w:rsid w:val="00AF76DA"/>
    <w:rsid w:val="00AF7B58"/>
    <w:rsid w:val="00B02571"/>
    <w:rsid w:val="00B027C4"/>
    <w:rsid w:val="00B03131"/>
    <w:rsid w:val="00B0499B"/>
    <w:rsid w:val="00B05708"/>
    <w:rsid w:val="00B06928"/>
    <w:rsid w:val="00B07207"/>
    <w:rsid w:val="00B0776A"/>
    <w:rsid w:val="00B110CF"/>
    <w:rsid w:val="00B11C11"/>
    <w:rsid w:val="00B11C19"/>
    <w:rsid w:val="00B12661"/>
    <w:rsid w:val="00B145B2"/>
    <w:rsid w:val="00B157BB"/>
    <w:rsid w:val="00B15868"/>
    <w:rsid w:val="00B17B4C"/>
    <w:rsid w:val="00B17E76"/>
    <w:rsid w:val="00B21B69"/>
    <w:rsid w:val="00B246E0"/>
    <w:rsid w:val="00B246F6"/>
    <w:rsid w:val="00B261A1"/>
    <w:rsid w:val="00B272CC"/>
    <w:rsid w:val="00B3075C"/>
    <w:rsid w:val="00B31810"/>
    <w:rsid w:val="00B328D9"/>
    <w:rsid w:val="00B32F76"/>
    <w:rsid w:val="00B337E2"/>
    <w:rsid w:val="00B338B2"/>
    <w:rsid w:val="00B33934"/>
    <w:rsid w:val="00B40423"/>
    <w:rsid w:val="00B409A2"/>
    <w:rsid w:val="00B4201A"/>
    <w:rsid w:val="00B42154"/>
    <w:rsid w:val="00B4239D"/>
    <w:rsid w:val="00B43CF8"/>
    <w:rsid w:val="00B453FD"/>
    <w:rsid w:val="00B462DB"/>
    <w:rsid w:val="00B46495"/>
    <w:rsid w:val="00B46BA6"/>
    <w:rsid w:val="00B47F7A"/>
    <w:rsid w:val="00B50C99"/>
    <w:rsid w:val="00B51750"/>
    <w:rsid w:val="00B5516A"/>
    <w:rsid w:val="00B5617A"/>
    <w:rsid w:val="00B56A01"/>
    <w:rsid w:val="00B571D9"/>
    <w:rsid w:val="00B615CA"/>
    <w:rsid w:val="00B620D3"/>
    <w:rsid w:val="00B629BE"/>
    <w:rsid w:val="00B639F5"/>
    <w:rsid w:val="00B64E59"/>
    <w:rsid w:val="00B65152"/>
    <w:rsid w:val="00B67123"/>
    <w:rsid w:val="00B67B2A"/>
    <w:rsid w:val="00B70448"/>
    <w:rsid w:val="00B710A1"/>
    <w:rsid w:val="00B7196B"/>
    <w:rsid w:val="00B71BBF"/>
    <w:rsid w:val="00B72D25"/>
    <w:rsid w:val="00B7443A"/>
    <w:rsid w:val="00B749C6"/>
    <w:rsid w:val="00B74F17"/>
    <w:rsid w:val="00B7706F"/>
    <w:rsid w:val="00B77FF3"/>
    <w:rsid w:val="00B83D60"/>
    <w:rsid w:val="00B847CA"/>
    <w:rsid w:val="00B84D0B"/>
    <w:rsid w:val="00B869D8"/>
    <w:rsid w:val="00B86B57"/>
    <w:rsid w:val="00B90A21"/>
    <w:rsid w:val="00B9289E"/>
    <w:rsid w:val="00B9351E"/>
    <w:rsid w:val="00B96254"/>
    <w:rsid w:val="00BA1197"/>
    <w:rsid w:val="00BA2388"/>
    <w:rsid w:val="00BA26C9"/>
    <w:rsid w:val="00BA2A44"/>
    <w:rsid w:val="00BA333B"/>
    <w:rsid w:val="00BA3919"/>
    <w:rsid w:val="00BA536E"/>
    <w:rsid w:val="00BA62C7"/>
    <w:rsid w:val="00BB0845"/>
    <w:rsid w:val="00BB2BEA"/>
    <w:rsid w:val="00BB2E7D"/>
    <w:rsid w:val="00BB5E22"/>
    <w:rsid w:val="00BB6FD6"/>
    <w:rsid w:val="00BB73CB"/>
    <w:rsid w:val="00BB7605"/>
    <w:rsid w:val="00BC05D7"/>
    <w:rsid w:val="00BC0D17"/>
    <w:rsid w:val="00BC28AF"/>
    <w:rsid w:val="00BC2A4F"/>
    <w:rsid w:val="00BC3907"/>
    <w:rsid w:val="00BC6AD7"/>
    <w:rsid w:val="00BC7150"/>
    <w:rsid w:val="00BC7B41"/>
    <w:rsid w:val="00BD09DE"/>
    <w:rsid w:val="00BD0CAC"/>
    <w:rsid w:val="00BD2B5B"/>
    <w:rsid w:val="00BD5326"/>
    <w:rsid w:val="00BE0170"/>
    <w:rsid w:val="00BE0D49"/>
    <w:rsid w:val="00BE1B5F"/>
    <w:rsid w:val="00BE271C"/>
    <w:rsid w:val="00BE275C"/>
    <w:rsid w:val="00BE3323"/>
    <w:rsid w:val="00BE3F0D"/>
    <w:rsid w:val="00BE51A6"/>
    <w:rsid w:val="00BE5AD0"/>
    <w:rsid w:val="00BE749E"/>
    <w:rsid w:val="00BE78A9"/>
    <w:rsid w:val="00BF1389"/>
    <w:rsid w:val="00BF180D"/>
    <w:rsid w:val="00BF29F2"/>
    <w:rsid w:val="00BF3152"/>
    <w:rsid w:val="00BF5601"/>
    <w:rsid w:val="00BF57D7"/>
    <w:rsid w:val="00BF6B02"/>
    <w:rsid w:val="00BF70F8"/>
    <w:rsid w:val="00BF7966"/>
    <w:rsid w:val="00C014D9"/>
    <w:rsid w:val="00C04A34"/>
    <w:rsid w:val="00C05A00"/>
    <w:rsid w:val="00C07F2D"/>
    <w:rsid w:val="00C100AB"/>
    <w:rsid w:val="00C109AF"/>
    <w:rsid w:val="00C10B9C"/>
    <w:rsid w:val="00C13E13"/>
    <w:rsid w:val="00C13F34"/>
    <w:rsid w:val="00C140E7"/>
    <w:rsid w:val="00C15D24"/>
    <w:rsid w:val="00C16B0D"/>
    <w:rsid w:val="00C17877"/>
    <w:rsid w:val="00C213C4"/>
    <w:rsid w:val="00C2233C"/>
    <w:rsid w:val="00C22693"/>
    <w:rsid w:val="00C22BB8"/>
    <w:rsid w:val="00C23057"/>
    <w:rsid w:val="00C251A6"/>
    <w:rsid w:val="00C25E44"/>
    <w:rsid w:val="00C26487"/>
    <w:rsid w:val="00C304D4"/>
    <w:rsid w:val="00C30A54"/>
    <w:rsid w:val="00C3296D"/>
    <w:rsid w:val="00C33851"/>
    <w:rsid w:val="00C33CA2"/>
    <w:rsid w:val="00C34446"/>
    <w:rsid w:val="00C37A30"/>
    <w:rsid w:val="00C37E21"/>
    <w:rsid w:val="00C4064D"/>
    <w:rsid w:val="00C41463"/>
    <w:rsid w:val="00C4325D"/>
    <w:rsid w:val="00C44628"/>
    <w:rsid w:val="00C47702"/>
    <w:rsid w:val="00C523E1"/>
    <w:rsid w:val="00C53A94"/>
    <w:rsid w:val="00C53B90"/>
    <w:rsid w:val="00C54CD4"/>
    <w:rsid w:val="00C55223"/>
    <w:rsid w:val="00C55E21"/>
    <w:rsid w:val="00C55F25"/>
    <w:rsid w:val="00C5708C"/>
    <w:rsid w:val="00C570DB"/>
    <w:rsid w:val="00C601C6"/>
    <w:rsid w:val="00C60602"/>
    <w:rsid w:val="00C60675"/>
    <w:rsid w:val="00C61317"/>
    <w:rsid w:val="00C61A4B"/>
    <w:rsid w:val="00C63B96"/>
    <w:rsid w:val="00C7251D"/>
    <w:rsid w:val="00C7366B"/>
    <w:rsid w:val="00C73A7F"/>
    <w:rsid w:val="00C74EAA"/>
    <w:rsid w:val="00C75248"/>
    <w:rsid w:val="00C77C65"/>
    <w:rsid w:val="00C8329E"/>
    <w:rsid w:val="00C83EE9"/>
    <w:rsid w:val="00C859B1"/>
    <w:rsid w:val="00C85CAC"/>
    <w:rsid w:val="00C932D6"/>
    <w:rsid w:val="00C93A52"/>
    <w:rsid w:val="00C954BC"/>
    <w:rsid w:val="00C96EB8"/>
    <w:rsid w:val="00C9711E"/>
    <w:rsid w:val="00C97A30"/>
    <w:rsid w:val="00CA25A4"/>
    <w:rsid w:val="00CA2814"/>
    <w:rsid w:val="00CA4B54"/>
    <w:rsid w:val="00CA4F92"/>
    <w:rsid w:val="00CA58AC"/>
    <w:rsid w:val="00CA70C6"/>
    <w:rsid w:val="00CB0B49"/>
    <w:rsid w:val="00CB1AD3"/>
    <w:rsid w:val="00CB54D6"/>
    <w:rsid w:val="00CB6D29"/>
    <w:rsid w:val="00CC0192"/>
    <w:rsid w:val="00CC1629"/>
    <w:rsid w:val="00CC247C"/>
    <w:rsid w:val="00CC27B7"/>
    <w:rsid w:val="00CC2AC8"/>
    <w:rsid w:val="00CC3160"/>
    <w:rsid w:val="00CC4CBF"/>
    <w:rsid w:val="00CC5B0B"/>
    <w:rsid w:val="00CC603A"/>
    <w:rsid w:val="00CC7069"/>
    <w:rsid w:val="00CC7ED7"/>
    <w:rsid w:val="00CD353C"/>
    <w:rsid w:val="00CD49C1"/>
    <w:rsid w:val="00CD4FC2"/>
    <w:rsid w:val="00CD5125"/>
    <w:rsid w:val="00CD6441"/>
    <w:rsid w:val="00CD6925"/>
    <w:rsid w:val="00CD710A"/>
    <w:rsid w:val="00CE001C"/>
    <w:rsid w:val="00CE052A"/>
    <w:rsid w:val="00CE3282"/>
    <w:rsid w:val="00CE4175"/>
    <w:rsid w:val="00CE42CA"/>
    <w:rsid w:val="00CE452A"/>
    <w:rsid w:val="00CE691B"/>
    <w:rsid w:val="00CE6A77"/>
    <w:rsid w:val="00CE71EF"/>
    <w:rsid w:val="00CE7515"/>
    <w:rsid w:val="00CF41CE"/>
    <w:rsid w:val="00CF7460"/>
    <w:rsid w:val="00CF78E9"/>
    <w:rsid w:val="00D00E10"/>
    <w:rsid w:val="00D03BC3"/>
    <w:rsid w:val="00D04033"/>
    <w:rsid w:val="00D05EBF"/>
    <w:rsid w:val="00D06E11"/>
    <w:rsid w:val="00D1026E"/>
    <w:rsid w:val="00D10A69"/>
    <w:rsid w:val="00D12099"/>
    <w:rsid w:val="00D120C4"/>
    <w:rsid w:val="00D17C9A"/>
    <w:rsid w:val="00D21136"/>
    <w:rsid w:val="00D22B24"/>
    <w:rsid w:val="00D231C3"/>
    <w:rsid w:val="00D233A0"/>
    <w:rsid w:val="00D25C97"/>
    <w:rsid w:val="00D339A7"/>
    <w:rsid w:val="00D35448"/>
    <w:rsid w:val="00D35DE2"/>
    <w:rsid w:val="00D35E1E"/>
    <w:rsid w:val="00D35E3B"/>
    <w:rsid w:val="00D3747F"/>
    <w:rsid w:val="00D379EB"/>
    <w:rsid w:val="00D40A22"/>
    <w:rsid w:val="00D4673C"/>
    <w:rsid w:val="00D5173D"/>
    <w:rsid w:val="00D555CD"/>
    <w:rsid w:val="00D55B51"/>
    <w:rsid w:val="00D57419"/>
    <w:rsid w:val="00D57771"/>
    <w:rsid w:val="00D633D5"/>
    <w:rsid w:val="00D63962"/>
    <w:rsid w:val="00D70B9C"/>
    <w:rsid w:val="00D72540"/>
    <w:rsid w:val="00D73BD3"/>
    <w:rsid w:val="00D74175"/>
    <w:rsid w:val="00D75DDD"/>
    <w:rsid w:val="00D76794"/>
    <w:rsid w:val="00D76A97"/>
    <w:rsid w:val="00D8044E"/>
    <w:rsid w:val="00D84067"/>
    <w:rsid w:val="00D852B6"/>
    <w:rsid w:val="00D90BED"/>
    <w:rsid w:val="00D9175F"/>
    <w:rsid w:val="00D9211A"/>
    <w:rsid w:val="00D9375F"/>
    <w:rsid w:val="00D941C1"/>
    <w:rsid w:val="00D947EF"/>
    <w:rsid w:val="00D9660A"/>
    <w:rsid w:val="00D9684F"/>
    <w:rsid w:val="00D96B2C"/>
    <w:rsid w:val="00D97FED"/>
    <w:rsid w:val="00DA1CF0"/>
    <w:rsid w:val="00DA1DB7"/>
    <w:rsid w:val="00DA1FC4"/>
    <w:rsid w:val="00DA3699"/>
    <w:rsid w:val="00DA3A35"/>
    <w:rsid w:val="00DA4AF0"/>
    <w:rsid w:val="00DA69BA"/>
    <w:rsid w:val="00DA6C5C"/>
    <w:rsid w:val="00DB10EA"/>
    <w:rsid w:val="00DB2188"/>
    <w:rsid w:val="00DB2375"/>
    <w:rsid w:val="00DB285A"/>
    <w:rsid w:val="00DB3141"/>
    <w:rsid w:val="00DB55C8"/>
    <w:rsid w:val="00DB732B"/>
    <w:rsid w:val="00DC283C"/>
    <w:rsid w:val="00DC29F2"/>
    <w:rsid w:val="00DC410E"/>
    <w:rsid w:val="00DC46AB"/>
    <w:rsid w:val="00DD0ECC"/>
    <w:rsid w:val="00DD1AF8"/>
    <w:rsid w:val="00DD3A60"/>
    <w:rsid w:val="00DD46DD"/>
    <w:rsid w:val="00DD4885"/>
    <w:rsid w:val="00DD4948"/>
    <w:rsid w:val="00DD5D0A"/>
    <w:rsid w:val="00DD5F4B"/>
    <w:rsid w:val="00DD60CB"/>
    <w:rsid w:val="00DD674C"/>
    <w:rsid w:val="00DD7821"/>
    <w:rsid w:val="00DD7F6E"/>
    <w:rsid w:val="00DE199C"/>
    <w:rsid w:val="00DE2474"/>
    <w:rsid w:val="00DE2551"/>
    <w:rsid w:val="00DE2E5B"/>
    <w:rsid w:val="00DE3699"/>
    <w:rsid w:val="00DE40AB"/>
    <w:rsid w:val="00DE6AC3"/>
    <w:rsid w:val="00DF0163"/>
    <w:rsid w:val="00DF053B"/>
    <w:rsid w:val="00DF10C4"/>
    <w:rsid w:val="00DF1CA7"/>
    <w:rsid w:val="00DF2299"/>
    <w:rsid w:val="00DF2E0D"/>
    <w:rsid w:val="00DF68FF"/>
    <w:rsid w:val="00DF7B3B"/>
    <w:rsid w:val="00E021B1"/>
    <w:rsid w:val="00E02D2C"/>
    <w:rsid w:val="00E044FF"/>
    <w:rsid w:val="00E06D61"/>
    <w:rsid w:val="00E06EEA"/>
    <w:rsid w:val="00E0735F"/>
    <w:rsid w:val="00E07CAF"/>
    <w:rsid w:val="00E10323"/>
    <w:rsid w:val="00E10F26"/>
    <w:rsid w:val="00E111A6"/>
    <w:rsid w:val="00E11A0B"/>
    <w:rsid w:val="00E14520"/>
    <w:rsid w:val="00E15A18"/>
    <w:rsid w:val="00E175F0"/>
    <w:rsid w:val="00E17DB7"/>
    <w:rsid w:val="00E20962"/>
    <w:rsid w:val="00E2126C"/>
    <w:rsid w:val="00E215B1"/>
    <w:rsid w:val="00E21BDF"/>
    <w:rsid w:val="00E21D5E"/>
    <w:rsid w:val="00E22E84"/>
    <w:rsid w:val="00E256A7"/>
    <w:rsid w:val="00E257CB"/>
    <w:rsid w:val="00E25F4C"/>
    <w:rsid w:val="00E264E2"/>
    <w:rsid w:val="00E26853"/>
    <w:rsid w:val="00E3012C"/>
    <w:rsid w:val="00E304E5"/>
    <w:rsid w:val="00E3092B"/>
    <w:rsid w:val="00E30DBC"/>
    <w:rsid w:val="00E31504"/>
    <w:rsid w:val="00E324DF"/>
    <w:rsid w:val="00E33459"/>
    <w:rsid w:val="00E33806"/>
    <w:rsid w:val="00E33AC4"/>
    <w:rsid w:val="00E36FE2"/>
    <w:rsid w:val="00E3775C"/>
    <w:rsid w:val="00E3783D"/>
    <w:rsid w:val="00E40FEE"/>
    <w:rsid w:val="00E423C0"/>
    <w:rsid w:val="00E42AC6"/>
    <w:rsid w:val="00E43DE2"/>
    <w:rsid w:val="00E44C50"/>
    <w:rsid w:val="00E4615C"/>
    <w:rsid w:val="00E46BF1"/>
    <w:rsid w:val="00E507AC"/>
    <w:rsid w:val="00E50D84"/>
    <w:rsid w:val="00E51981"/>
    <w:rsid w:val="00E51DDE"/>
    <w:rsid w:val="00E52082"/>
    <w:rsid w:val="00E555DF"/>
    <w:rsid w:val="00E56DB7"/>
    <w:rsid w:val="00E60B85"/>
    <w:rsid w:val="00E61220"/>
    <w:rsid w:val="00E62724"/>
    <w:rsid w:val="00E62B61"/>
    <w:rsid w:val="00E636A8"/>
    <w:rsid w:val="00E643D2"/>
    <w:rsid w:val="00E66300"/>
    <w:rsid w:val="00E663AD"/>
    <w:rsid w:val="00E66C45"/>
    <w:rsid w:val="00E67812"/>
    <w:rsid w:val="00E67A1D"/>
    <w:rsid w:val="00E70ED3"/>
    <w:rsid w:val="00E723D9"/>
    <w:rsid w:val="00E75812"/>
    <w:rsid w:val="00E766E7"/>
    <w:rsid w:val="00E76E95"/>
    <w:rsid w:val="00E77FA3"/>
    <w:rsid w:val="00E827D9"/>
    <w:rsid w:val="00E82E0E"/>
    <w:rsid w:val="00E85AED"/>
    <w:rsid w:val="00E86A04"/>
    <w:rsid w:val="00E90AF9"/>
    <w:rsid w:val="00E91C8E"/>
    <w:rsid w:val="00E92E30"/>
    <w:rsid w:val="00E95879"/>
    <w:rsid w:val="00E97C54"/>
    <w:rsid w:val="00EA04C6"/>
    <w:rsid w:val="00EA18EB"/>
    <w:rsid w:val="00EA1D25"/>
    <w:rsid w:val="00EA2CA9"/>
    <w:rsid w:val="00EA3BE4"/>
    <w:rsid w:val="00EA4DBD"/>
    <w:rsid w:val="00EA5BAE"/>
    <w:rsid w:val="00EA7852"/>
    <w:rsid w:val="00EA7B0F"/>
    <w:rsid w:val="00EB38A4"/>
    <w:rsid w:val="00EB3F65"/>
    <w:rsid w:val="00EB3F8A"/>
    <w:rsid w:val="00EB52AB"/>
    <w:rsid w:val="00EB596F"/>
    <w:rsid w:val="00EB5B44"/>
    <w:rsid w:val="00EB7886"/>
    <w:rsid w:val="00EC0426"/>
    <w:rsid w:val="00EC0666"/>
    <w:rsid w:val="00EC0A8A"/>
    <w:rsid w:val="00EC1FB1"/>
    <w:rsid w:val="00EC3688"/>
    <w:rsid w:val="00EC3C28"/>
    <w:rsid w:val="00EC4E16"/>
    <w:rsid w:val="00EC5145"/>
    <w:rsid w:val="00EC7FBC"/>
    <w:rsid w:val="00ED0FA6"/>
    <w:rsid w:val="00ED4A3D"/>
    <w:rsid w:val="00ED6149"/>
    <w:rsid w:val="00ED6A60"/>
    <w:rsid w:val="00ED7F54"/>
    <w:rsid w:val="00EE09F8"/>
    <w:rsid w:val="00EE112B"/>
    <w:rsid w:val="00EE128E"/>
    <w:rsid w:val="00EE3A38"/>
    <w:rsid w:val="00EE559D"/>
    <w:rsid w:val="00EE7DCC"/>
    <w:rsid w:val="00EF0718"/>
    <w:rsid w:val="00EF19E4"/>
    <w:rsid w:val="00EF29B9"/>
    <w:rsid w:val="00EF330B"/>
    <w:rsid w:val="00EF4349"/>
    <w:rsid w:val="00EF5956"/>
    <w:rsid w:val="00EF778A"/>
    <w:rsid w:val="00F00406"/>
    <w:rsid w:val="00F0185C"/>
    <w:rsid w:val="00F01AD9"/>
    <w:rsid w:val="00F01E31"/>
    <w:rsid w:val="00F032A7"/>
    <w:rsid w:val="00F03311"/>
    <w:rsid w:val="00F047D0"/>
    <w:rsid w:val="00F06615"/>
    <w:rsid w:val="00F06D66"/>
    <w:rsid w:val="00F10590"/>
    <w:rsid w:val="00F128F3"/>
    <w:rsid w:val="00F146BF"/>
    <w:rsid w:val="00F16CBD"/>
    <w:rsid w:val="00F16F48"/>
    <w:rsid w:val="00F1701F"/>
    <w:rsid w:val="00F176D8"/>
    <w:rsid w:val="00F20848"/>
    <w:rsid w:val="00F21270"/>
    <w:rsid w:val="00F25D57"/>
    <w:rsid w:val="00F302D7"/>
    <w:rsid w:val="00F31343"/>
    <w:rsid w:val="00F31C58"/>
    <w:rsid w:val="00F32327"/>
    <w:rsid w:val="00F325A5"/>
    <w:rsid w:val="00F329DD"/>
    <w:rsid w:val="00F32A14"/>
    <w:rsid w:val="00F34B0A"/>
    <w:rsid w:val="00F35803"/>
    <w:rsid w:val="00F3598B"/>
    <w:rsid w:val="00F3656E"/>
    <w:rsid w:val="00F437CA"/>
    <w:rsid w:val="00F43D4E"/>
    <w:rsid w:val="00F44417"/>
    <w:rsid w:val="00F45D4B"/>
    <w:rsid w:val="00F5057D"/>
    <w:rsid w:val="00F51B99"/>
    <w:rsid w:val="00F56225"/>
    <w:rsid w:val="00F569A7"/>
    <w:rsid w:val="00F5795C"/>
    <w:rsid w:val="00F6095E"/>
    <w:rsid w:val="00F61D0F"/>
    <w:rsid w:val="00F640CE"/>
    <w:rsid w:val="00F64F47"/>
    <w:rsid w:val="00F66370"/>
    <w:rsid w:val="00F67ABF"/>
    <w:rsid w:val="00F67B8E"/>
    <w:rsid w:val="00F70547"/>
    <w:rsid w:val="00F72AF5"/>
    <w:rsid w:val="00F73AD9"/>
    <w:rsid w:val="00F749A2"/>
    <w:rsid w:val="00F75966"/>
    <w:rsid w:val="00F765BB"/>
    <w:rsid w:val="00F76C67"/>
    <w:rsid w:val="00F77ED8"/>
    <w:rsid w:val="00F77FD6"/>
    <w:rsid w:val="00F8100F"/>
    <w:rsid w:val="00F81C70"/>
    <w:rsid w:val="00F844A4"/>
    <w:rsid w:val="00F85291"/>
    <w:rsid w:val="00F85BB0"/>
    <w:rsid w:val="00F87184"/>
    <w:rsid w:val="00F908E6"/>
    <w:rsid w:val="00F908EB"/>
    <w:rsid w:val="00F92160"/>
    <w:rsid w:val="00F930C6"/>
    <w:rsid w:val="00F95160"/>
    <w:rsid w:val="00F95503"/>
    <w:rsid w:val="00F9783C"/>
    <w:rsid w:val="00FA02D9"/>
    <w:rsid w:val="00FA2755"/>
    <w:rsid w:val="00FB3180"/>
    <w:rsid w:val="00FB3BEA"/>
    <w:rsid w:val="00FB43A7"/>
    <w:rsid w:val="00FB602F"/>
    <w:rsid w:val="00FB6389"/>
    <w:rsid w:val="00FB7F10"/>
    <w:rsid w:val="00FC0AE9"/>
    <w:rsid w:val="00FC1AFF"/>
    <w:rsid w:val="00FC1E34"/>
    <w:rsid w:val="00FC265B"/>
    <w:rsid w:val="00FC3E8F"/>
    <w:rsid w:val="00FC67B3"/>
    <w:rsid w:val="00FC6826"/>
    <w:rsid w:val="00FC6BED"/>
    <w:rsid w:val="00FC7D2C"/>
    <w:rsid w:val="00FD013B"/>
    <w:rsid w:val="00FD0BD0"/>
    <w:rsid w:val="00FD0CBA"/>
    <w:rsid w:val="00FD3C98"/>
    <w:rsid w:val="00FD5898"/>
    <w:rsid w:val="00FE0299"/>
    <w:rsid w:val="00FE03D2"/>
    <w:rsid w:val="00FE22EA"/>
    <w:rsid w:val="00FE2343"/>
    <w:rsid w:val="00FE40DA"/>
    <w:rsid w:val="00FE5611"/>
    <w:rsid w:val="00FE7A6C"/>
    <w:rsid w:val="00FF1F4C"/>
    <w:rsid w:val="00FF3683"/>
    <w:rsid w:val="00FF6AC9"/>
    <w:rsid w:val="04D935AD"/>
    <w:rsid w:val="07C04197"/>
    <w:rsid w:val="0DAE2A60"/>
    <w:rsid w:val="0ED53C80"/>
    <w:rsid w:val="13195334"/>
    <w:rsid w:val="132B2693"/>
    <w:rsid w:val="17BE36D4"/>
    <w:rsid w:val="1E437FD5"/>
    <w:rsid w:val="1E9257FE"/>
    <w:rsid w:val="206D1F60"/>
    <w:rsid w:val="232C3BEB"/>
    <w:rsid w:val="253A5EBC"/>
    <w:rsid w:val="2F834169"/>
    <w:rsid w:val="30AF0820"/>
    <w:rsid w:val="37B40AC2"/>
    <w:rsid w:val="37E7555D"/>
    <w:rsid w:val="39496A21"/>
    <w:rsid w:val="4CCA3483"/>
    <w:rsid w:val="4D131834"/>
    <w:rsid w:val="50FD57F8"/>
    <w:rsid w:val="51C600BF"/>
    <w:rsid w:val="54C16EC2"/>
    <w:rsid w:val="55502EB7"/>
    <w:rsid w:val="5B8C1050"/>
    <w:rsid w:val="6C486B28"/>
    <w:rsid w:val="6EF96DCF"/>
    <w:rsid w:val="7A68347F"/>
    <w:rsid w:val="7D12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4"/>
    <w:qFormat/>
    <w:uiPriority w:val="99"/>
    <w:pPr>
      <w:keepNext/>
      <w:keepLines/>
      <w:tabs>
        <w:tab w:val="left" w:pos="360"/>
      </w:tabs>
      <w:adjustRightInd w:val="0"/>
      <w:spacing w:before="120" w:line="360" w:lineRule="auto"/>
      <w:ind w:left="284" w:hanging="284"/>
      <w:textAlignment w:val="baseline"/>
      <w:outlineLvl w:val="0"/>
    </w:pPr>
    <w:rPr>
      <w:rFonts w:eastAsia="黑体"/>
      <w:b/>
      <w:kern w:val="44"/>
      <w:sz w:val="28"/>
      <w:szCs w:val="20"/>
    </w:rPr>
  </w:style>
  <w:style w:type="paragraph" w:styleId="3">
    <w:name w:val="heading 2"/>
    <w:basedOn w:val="1"/>
    <w:next w:val="1"/>
    <w:qFormat/>
    <w:uiPriority w:val="0"/>
    <w:pPr>
      <w:keepNext/>
      <w:tabs>
        <w:tab w:val="left" w:pos="1021"/>
      </w:tabs>
      <w:adjustRightInd w:val="0"/>
      <w:spacing w:before="120" w:line="360" w:lineRule="auto"/>
      <w:ind w:left="1021" w:hanging="596"/>
      <w:textAlignment w:val="baseline"/>
      <w:outlineLvl w:val="1"/>
    </w:pPr>
    <w:rPr>
      <w:rFonts w:eastAsia="黑体"/>
      <w:b/>
      <w:kern w:val="0"/>
      <w:sz w:val="28"/>
      <w:szCs w:val="20"/>
    </w:rPr>
  </w:style>
  <w:style w:type="paragraph" w:styleId="4">
    <w:name w:val="heading 3"/>
    <w:basedOn w:val="1"/>
    <w:next w:val="1"/>
    <w:link w:val="46"/>
    <w:qFormat/>
    <w:uiPriority w:val="9"/>
    <w:pPr>
      <w:tabs>
        <w:tab w:val="left" w:pos="900"/>
        <w:tab w:val="left" w:pos="1588"/>
      </w:tabs>
      <w:adjustRightInd w:val="0"/>
      <w:spacing w:before="120" w:line="360" w:lineRule="auto"/>
      <w:ind w:left="1588" w:hanging="737"/>
      <w:textAlignment w:val="baseline"/>
      <w:outlineLvl w:val="2"/>
    </w:pPr>
    <w:rPr>
      <w:rFonts w:eastAsia="黑体"/>
      <w:b/>
      <w:kern w:val="0"/>
      <w:sz w:val="28"/>
      <w:szCs w:val="20"/>
    </w:rPr>
  </w:style>
  <w:style w:type="paragraph" w:styleId="5">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35">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semiHidden/>
    <w:qFormat/>
    <w:uiPriority w:val="0"/>
    <w:rPr>
      <w:b/>
      <w:bCs/>
    </w:rPr>
  </w:style>
  <w:style w:type="paragraph" w:styleId="7">
    <w:name w:val="annotation text"/>
    <w:basedOn w:val="1"/>
    <w:link w:val="57"/>
    <w:semiHidden/>
    <w:qFormat/>
    <w:uiPriority w:val="0"/>
    <w:pPr>
      <w:jc w:val="left"/>
    </w:pPr>
  </w:style>
  <w:style w:type="paragraph" w:styleId="8">
    <w:name w:val="toc 7"/>
    <w:basedOn w:val="1"/>
    <w:next w:val="1"/>
    <w:qFormat/>
    <w:uiPriority w:val="0"/>
    <w:pPr>
      <w:ind w:left="1260"/>
      <w:jc w:val="left"/>
    </w:pPr>
    <w:rPr>
      <w:rFonts w:ascii="Calibri" w:hAnsi="Calibri"/>
      <w:sz w:val="20"/>
      <w:szCs w:val="20"/>
    </w:rPr>
  </w:style>
  <w:style w:type="paragraph" w:styleId="9">
    <w:name w:val="Body Text First Indent"/>
    <w:basedOn w:val="10"/>
    <w:link w:val="74"/>
    <w:qFormat/>
    <w:uiPriority w:val="0"/>
    <w:pPr>
      <w:spacing w:after="120"/>
      <w:ind w:firstLine="420" w:firstLineChars="100"/>
    </w:pPr>
    <w:rPr>
      <w:rFonts w:ascii="Times New Roman" w:hAnsi="Times New Roman" w:eastAsia="宋体"/>
      <w:b w:val="0"/>
      <w:spacing w:val="0"/>
      <w:sz w:val="21"/>
      <w:szCs w:val="24"/>
    </w:rPr>
  </w:style>
  <w:style w:type="paragraph" w:styleId="10">
    <w:name w:val="Body Text"/>
    <w:basedOn w:val="1"/>
    <w:qFormat/>
    <w:uiPriority w:val="0"/>
    <w:rPr>
      <w:rFonts w:ascii="金山简黑体" w:hAnsi="Courier New" w:eastAsia="金山简黑体"/>
      <w:b/>
      <w:spacing w:val="-8"/>
      <w:sz w:val="44"/>
      <w:szCs w:val="20"/>
    </w:rPr>
  </w:style>
  <w:style w:type="paragraph" w:styleId="11">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Body Text 3"/>
    <w:basedOn w:val="1"/>
    <w:qFormat/>
    <w:uiPriority w:val="0"/>
    <w:rPr>
      <w:sz w:val="24"/>
    </w:rPr>
  </w:style>
  <w:style w:type="paragraph" w:styleId="14">
    <w:name w:val="Body Text Indent"/>
    <w:basedOn w:val="1"/>
    <w:link w:val="53"/>
    <w:qFormat/>
    <w:uiPriority w:val="0"/>
    <w:pPr>
      <w:spacing w:line="200" w:lineRule="exact"/>
      <w:ind w:firstLine="301"/>
    </w:pPr>
    <w:rPr>
      <w:rFonts w:ascii="宋体" w:hAnsi="Courier New"/>
      <w:spacing w:val="-4"/>
      <w:sz w:val="18"/>
      <w:szCs w:val="20"/>
    </w:rPr>
  </w:style>
  <w:style w:type="paragraph" w:styleId="15">
    <w:name w:val="toc 5"/>
    <w:basedOn w:val="1"/>
    <w:next w:val="1"/>
    <w:qFormat/>
    <w:uiPriority w:val="0"/>
    <w:pPr>
      <w:ind w:left="840"/>
      <w:jc w:val="left"/>
    </w:pPr>
    <w:rPr>
      <w:rFonts w:ascii="Calibri" w:hAnsi="Calibri"/>
      <w:sz w:val="20"/>
      <w:szCs w:val="20"/>
    </w:rPr>
  </w:style>
  <w:style w:type="paragraph" w:styleId="16">
    <w:name w:val="toc 3"/>
    <w:basedOn w:val="1"/>
    <w:next w:val="1"/>
    <w:unhideWhenUsed/>
    <w:qFormat/>
    <w:uiPriority w:val="39"/>
    <w:pPr>
      <w:ind w:left="420"/>
      <w:jc w:val="left"/>
    </w:pPr>
    <w:rPr>
      <w:rFonts w:ascii="Calibri" w:hAnsi="Calibri"/>
      <w:sz w:val="20"/>
      <w:szCs w:val="20"/>
    </w:rPr>
  </w:style>
  <w:style w:type="paragraph" w:styleId="17">
    <w:name w:val="Plain Text"/>
    <w:basedOn w:val="1"/>
    <w:link w:val="67"/>
    <w:qFormat/>
    <w:uiPriority w:val="0"/>
    <w:rPr>
      <w:rFonts w:ascii="宋体" w:hAnsi="Courier New"/>
      <w:szCs w:val="20"/>
    </w:rPr>
  </w:style>
  <w:style w:type="paragraph" w:styleId="18">
    <w:name w:val="toc 8"/>
    <w:basedOn w:val="1"/>
    <w:next w:val="1"/>
    <w:qFormat/>
    <w:uiPriority w:val="0"/>
    <w:pPr>
      <w:ind w:left="1470"/>
      <w:jc w:val="left"/>
    </w:pPr>
    <w:rPr>
      <w:rFonts w:ascii="Calibri" w:hAnsi="Calibri"/>
      <w:sz w:val="20"/>
      <w:szCs w:val="20"/>
    </w:rPr>
  </w:style>
  <w:style w:type="paragraph" w:styleId="19">
    <w:name w:val="Date"/>
    <w:basedOn w:val="1"/>
    <w:next w:val="1"/>
    <w:link w:val="49"/>
    <w:qFormat/>
    <w:uiPriority w:val="0"/>
    <w:pPr>
      <w:ind w:left="100" w:leftChars="2500"/>
    </w:pPr>
  </w:style>
  <w:style w:type="paragraph" w:styleId="20">
    <w:name w:val="Body Text Indent 2"/>
    <w:basedOn w:val="1"/>
    <w:link w:val="75"/>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112"/>
    <w:qFormat/>
    <w:uiPriority w:val="99"/>
    <w:pPr>
      <w:tabs>
        <w:tab w:val="center" w:pos="4153"/>
        <w:tab w:val="right" w:pos="8306"/>
      </w:tabs>
      <w:snapToGrid w:val="0"/>
      <w:jc w:val="left"/>
    </w:pPr>
    <w:rPr>
      <w:rFonts w:ascii="宋体" w:hAnsi="Courier New"/>
      <w:sz w:val="18"/>
      <w:szCs w:val="20"/>
    </w:rPr>
  </w:style>
  <w:style w:type="paragraph" w:styleId="23">
    <w:name w:val="header"/>
    <w:basedOn w:val="1"/>
    <w:link w:val="108"/>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qFormat/>
    <w:uiPriority w:val="39"/>
    <w:pPr>
      <w:spacing w:before="120"/>
      <w:jc w:val="left"/>
    </w:pPr>
    <w:rPr>
      <w:rFonts w:ascii="Calibri" w:hAnsi="Calibri"/>
      <w:b/>
      <w:bCs/>
      <w:i/>
      <w:iCs/>
      <w:sz w:val="24"/>
    </w:rPr>
  </w:style>
  <w:style w:type="paragraph" w:styleId="25">
    <w:name w:val="toc 4"/>
    <w:basedOn w:val="1"/>
    <w:next w:val="1"/>
    <w:qFormat/>
    <w:uiPriority w:val="0"/>
    <w:pPr>
      <w:ind w:left="630"/>
      <w:jc w:val="left"/>
    </w:pPr>
    <w:rPr>
      <w:rFonts w:ascii="Calibri" w:hAnsi="Calibri"/>
      <w:sz w:val="20"/>
      <w:szCs w:val="20"/>
    </w:rPr>
  </w:style>
  <w:style w:type="paragraph" w:styleId="26">
    <w:name w:val="Subtitle"/>
    <w:basedOn w:val="1"/>
    <w:next w:val="1"/>
    <w:link w:val="98"/>
    <w:qFormat/>
    <w:uiPriority w:val="0"/>
    <w:pPr>
      <w:spacing w:before="240" w:after="60" w:line="312" w:lineRule="auto"/>
      <w:jc w:val="center"/>
      <w:outlineLvl w:val="1"/>
    </w:pPr>
    <w:rPr>
      <w:rFonts w:ascii="Cambria" w:hAnsi="Cambria"/>
      <w:b/>
      <w:bCs/>
      <w:kern w:val="28"/>
      <w:sz w:val="32"/>
      <w:szCs w:val="32"/>
    </w:rPr>
  </w:style>
  <w:style w:type="paragraph" w:styleId="27">
    <w:name w:val="toc 6"/>
    <w:basedOn w:val="1"/>
    <w:next w:val="1"/>
    <w:qFormat/>
    <w:uiPriority w:val="0"/>
    <w:pPr>
      <w:ind w:left="1050"/>
      <w:jc w:val="left"/>
    </w:pPr>
    <w:rPr>
      <w:rFonts w:ascii="Calibri" w:hAnsi="Calibri"/>
      <w:sz w:val="20"/>
      <w:szCs w:val="20"/>
    </w:rPr>
  </w:style>
  <w:style w:type="paragraph" w:styleId="28">
    <w:name w:val="Body Text Indent 3"/>
    <w:basedOn w:val="1"/>
    <w:qFormat/>
    <w:uiPriority w:val="0"/>
    <w:pPr>
      <w:spacing w:line="400" w:lineRule="exact"/>
      <w:ind w:left="360"/>
    </w:pPr>
    <w:rPr>
      <w:sz w:val="24"/>
    </w:rPr>
  </w:style>
  <w:style w:type="paragraph" w:styleId="29">
    <w:name w:val="toc 2"/>
    <w:basedOn w:val="1"/>
    <w:next w:val="1"/>
    <w:unhideWhenUsed/>
    <w:qFormat/>
    <w:uiPriority w:val="39"/>
    <w:pPr>
      <w:spacing w:before="120"/>
      <w:ind w:left="210"/>
      <w:jc w:val="left"/>
    </w:pPr>
    <w:rPr>
      <w:rFonts w:ascii="Calibri" w:hAnsi="Calibri"/>
      <w:b/>
      <w:bCs/>
      <w:sz w:val="22"/>
      <w:szCs w:val="22"/>
    </w:rPr>
  </w:style>
  <w:style w:type="paragraph" w:styleId="30">
    <w:name w:val="toc 9"/>
    <w:basedOn w:val="1"/>
    <w:next w:val="1"/>
    <w:qFormat/>
    <w:uiPriority w:val="0"/>
    <w:pPr>
      <w:ind w:left="1680"/>
      <w:jc w:val="left"/>
    </w:pPr>
    <w:rPr>
      <w:rFonts w:ascii="Calibri" w:hAnsi="Calibri"/>
      <w:sz w:val="20"/>
      <w:szCs w:val="20"/>
    </w:rPr>
  </w:style>
  <w:style w:type="paragraph" w:styleId="31">
    <w:name w:val="Body Text 2"/>
    <w:basedOn w:val="1"/>
    <w:qFormat/>
    <w:uiPriority w:val="0"/>
    <w:rPr>
      <w:rFonts w:ascii="宋体" w:hAnsi="Courier New"/>
      <w:sz w:val="13"/>
      <w:szCs w:val="20"/>
    </w:rPr>
  </w:style>
  <w:style w:type="paragraph" w:styleId="32">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3">
    <w:name w:val="Normal (Web)"/>
    <w:basedOn w:val="1"/>
    <w:qFormat/>
    <w:uiPriority w:val="99"/>
    <w:pPr>
      <w:widowControl/>
      <w:spacing w:before="100" w:beforeAutospacing="1" w:after="100" w:afterAutospacing="1"/>
      <w:jc w:val="left"/>
    </w:pPr>
    <w:rPr>
      <w:rFonts w:ascii="宋体" w:hAnsi="宋体"/>
      <w:kern w:val="0"/>
      <w:sz w:val="24"/>
    </w:rPr>
  </w:style>
  <w:style w:type="paragraph" w:styleId="34">
    <w:name w:val="Title"/>
    <w:basedOn w:val="1"/>
    <w:next w:val="1"/>
    <w:link w:val="103"/>
    <w:qFormat/>
    <w:uiPriority w:val="99"/>
    <w:pPr>
      <w:spacing w:before="240" w:after="60"/>
      <w:jc w:val="center"/>
      <w:outlineLvl w:val="0"/>
    </w:pPr>
    <w:rPr>
      <w:rFonts w:ascii="Cambria" w:cs="Cambria"/>
      <w:b/>
      <w:bCs/>
      <w:kern w:val="0"/>
      <w:sz w:val="32"/>
      <w:szCs w:val="32"/>
      <w:lang w:val="zh-CN"/>
    </w:r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Hyperlink"/>
    <w:qFormat/>
    <w:uiPriority w:val="99"/>
    <w:rPr>
      <w:color w:val="0000FF"/>
      <w:u w:val="single"/>
    </w:rPr>
  </w:style>
  <w:style w:type="character" w:styleId="40">
    <w:name w:val="annotation reference"/>
    <w:semiHidden/>
    <w:qFormat/>
    <w:uiPriority w:val="0"/>
    <w:rPr>
      <w:sz w:val="21"/>
      <w:szCs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43">
    <w:name w:val="font131"/>
    <w:unhideWhenUsed/>
    <w:qFormat/>
    <w:uiPriority w:val="99"/>
    <w:rPr>
      <w:rFonts w:ascii="Tahoma" w:cs="Tahoma"/>
      <w:color w:val="000000"/>
      <w:sz w:val="18"/>
      <w:szCs w:val="18"/>
    </w:rPr>
  </w:style>
  <w:style w:type="character" w:customStyle="1" w:styleId="44">
    <w:name w:val="页脚 Char25"/>
    <w:semiHidden/>
    <w:qFormat/>
    <w:uiPriority w:val="99"/>
    <w:rPr>
      <w:rFonts w:ascii="Calibri" w:hAnsi="Calibri" w:cs="宋体"/>
      <w:sz w:val="18"/>
      <w:szCs w:val="18"/>
    </w:rPr>
  </w:style>
  <w:style w:type="character" w:customStyle="1" w:styleId="45">
    <w:name w:val="font71"/>
    <w:unhideWhenUsed/>
    <w:qFormat/>
    <w:uiPriority w:val="99"/>
    <w:rPr>
      <w:rFonts w:ascii="宋体" w:eastAsia="宋体" w:cs="宋体"/>
      <w:color w:val="FF0000"/>
      <w:sz w:val="18"/>
      <w:szCs w:val="18"/>
    </w:rPr>
  </w:style>
  <w:style w:type="character" w:customStyle="1" w:styleId="46">
    <w:name w:val="标题 3 Char"/>
    <w:link w:val="4"/>
    <w:qFormat/>
    <w:uiPriority w:val="9"/>
    <w:rPr>
      <w:rFonts w:eastAsia="黑体"/>
      <w:b/>
      <w:sz w:val="28"/>
    </w:rPr>
  </w:style>
  <w:style w:type="character" w:customStyle="1" w:styleId="47">
    <w:name w:val="font161"/>
    <w:unhideWhenUsed/>
    <w:qFormat/>
    <w:uiPriority w:val="99"/>
    <w:rPr>
      <w:rFonts w:ascii="宋体" w:eastAsia="宋体" w:cs="宋体"/>
      <w:color w:val="000000"/>
      <w:sz w:val="20"/>
      <w:szCs w:val="20"/>
      <w:u w:val="single"/>
    </w:rPr>
  </w:style>
  <w:style w:type="character" w:customStyle="1" w:styleId="48">
    <w:name w:val="font141"/>
    <w:unhideWhenUsed/>
    <w:qFormat/>
    <w:uiPriority w:val="99"/>
    <w:rPr>
      <w:rFonts w:cs="Times New Roman"/>
      <w:color w:val="000000"/>
      <w:sz w:val="20"/>
      <w:szCs w:val="20"/>
    </w:rPr>
  </w:style>
  <w:style w:type="character" w:customStyle="1" w:styleId="49">
    <w:name w:val="日期 Char"/>
    <w:link w:val="19"/>
    <w:qFormat/>
    <w:uiPriority w:val="0"/>
    <w:rPr>
      <w:kern w:val="2"/>
      <w:sz w:val="21"/>
      <w:szCs w:val="24"/>
    </w:rPr>
  </w:style>
  <w:style w:type="character" w:customStyle="1" w:styleId="50">
    <w:name w:val="页脚 Char13"/>
    <w:unhideWhenUsed/>
    <w:qFormat/>
    <w:uiPriority w:val="99"/>
    <w:rPr>
      <w:rFonts w:ascii="Calibri" w:cs="Calibri"/>
      <w:sz w:val="18"/>
      <w:szCs w:val="18"/>
    </w:rPr>
  </w:style>
  <w:style w:type="character" w:customStyle="1" w:styleId="51">
    <w:name w:val="标题 Char2"/>
    <w:qFormat/>
    <w:uiPriority w:val="10"/>
    <w:rPr>
      <w:rFonts w:ascii="Cambria" w:hAnsi="Cambria" w:cs="Times New Roman"/>
      <w:b/>
      <w:bCs/>
      <w:sz w:val="32"/>
      <w:szCs w:val="32"/>
    </w:rPr>
  </w:style>
  <w:style w:type="character" w:customStyle="1" w:styleId="52">
    <w:name w:val="font"/>
    <w:qFormat/>
    <w:uiPriority w:val="0"/>
    <w:rPr>
      <w:rFonts w:cs="Times New Roman"/>
    </w:rPr>
  </w:style>
  <w:style w:type="character" w:customStyle="1" w:styleId="53">
    <w:name w:val="正文文本缩进 Char"/>
    <w:link w:val="14"/>
    <w:qFormat/>
    <w:uiPriority w:val="0"/>
    <w:rPr>
      <w:rFonts w:ascii="宋体" w:hAnsi="Courier New" w:eastAsia="宋体"/>
      <w:spacing w:val="-4"/>
      <w:kern w:val="2"/>
      <w:sz w:val="18"/>
      <w:lang w:val="en-US" w:eastAsia="zh-CN" w:bidi="ar-SA"/>
    </w:rPr>
  </w:style>
  <w:style w:type="character" w:customStyle="1" w:styleId="54">
    <w:name w:val="页眉 Char14"/>
    <w:unhideWhenUsed/>
    <w:qFormat/>
    <w:uiPriority w:val="99"/>
    <w:rPr>
      <w:rFonts w:ascii="Calibri" w:cs="Calibri"/>
      <w:sz w:val="18"/>
      <w:szCs w:val="18"/>
    </w:rPr>
  </w:style>
  <w:style w:type="character" w:customStyle="1" w:styleId="55">
    <w:name w:val="标题 Char24"/>
    <w:qFormat/>
    <w:uiPriority w:val="10"/>
    <w:rPr>
      <w:rFonts w:ascii="Cambria" w:hAnsi="Cambria" w:cs="Times New Roman"/>
      <w:b/>
      <w:bCs/>
      <w:sz w:val="32"/>
      <w:szCs w:val="32"/>
    </w:rPr>
  </w:style>
  <w:style w:type="character" w:customStyle="1" w:styleId="56">
    <w:name w:val="apple-style-span"/>
    <w:qFormat/>
    <w:uiPriority w:val="0"/>
  </w:style>
  <w:style w:type="character" w:customStyle="1" w:styleId="57">
    <w:name w:val="批注文字 Char"/>
    <w:link w:val="7"/>
    <w:semiHidden/>
    <w:qFormat/>
    <w:uiPriority w:val="0"/>
    <w:rPr>
      <w:kern w:val="2"/>
      <w:sz w:val="21"/>
      <w:szCs w:val="24"/>
    </w:rPr>
  </w:style>
  <w:style w:type="character" w:customStyle="1" w:styleId="58">
    <w:name w:val="标题 Char13"/>
    <w:unhideWhenUsed/>
    <w:qFormat/>
    <w:uiPriority w:val="99"/>
    <w:rPr>
      <w:rFonts w:ascii="Cambria" w:cs="Cambria"/>
      <w:b/>
      <w:bCs/>
      <w:sz w:val="32"/>
      <w:szCs w:val="32"/>
    </w:rPr>
  </w:style>
  <w:style w:type="character" w:customStyle="1" w:styleId="59">
    <w:name w:val="font101"/>
    <w:unhideWhenUsed/>
    <w:qFormat/>
    <w:uiPriority w:val="99"/>
    <w:rPr>
      <w:rFonts w:ascii="Tahoma" w:cs="Tahoma"/>
      <w:color w:val="000000"/>
      <w:sz w:val="18"/>
      <w:szCs w:val="18"/>
    </w:rPr>
  </w:style>
  <w:style w:type="character" w:customStyle="1" w:styleId="60">
    <w:name w:val="标题 Char12"/>
    <w:unhideWhenUsed/>
    <w:qFormat/>
    <w:uiPriority w:val="99"/>
    <w:rPr>
      <w:rFonts w:ascii="Cambria" w:cs="Cambria"/>
      <w:b/>
      <w:bCs/>
      <w:sz w:val="32"/>
      <w:szCs w:val="32"/>
    </w:rPr>
  </w:style>
  <w:style w:type="character" w:customStyle="1" w:styleId="61">
    <w:name w:val="标题 Char22"/>
    <w:qFormat/>
    <w:uiPriority w:val="10"/>
    <w:rPr>
      <w:rFonts w:ascii="Cambria" w:hAnsi="Cambria" w:cs="Times New Roman"/>
      <w:b/>
      <w:bCs/>
      <w:sz w:val="32"/>
      <w:szCs w:val="32"/>
    </w:rPr>
  </w:style>
  <w:style w:type="character" w:customStyle="1" w:styleId="62">
    <w:name w:val="页眉 Char1"/>
    <w:unhideWhenUsed/>
    <w:qFormat/>
    <w:uiPriority w:val="99"/>
    <w:rPr>
      <w:rFonts w:ascii="Calibri" w:cs="Calibri"/>
      <w:sz w:val="18"/>
      <w:szCs w:val="18"/>
    </w:rPr>
  </w:style>
  <w:style w:type="character" w:customStyle="1" w:styleId="63">
    <w:name w:val="标题 Char25"/>
    <w:qFormat/>
    <w:uiPriority w:val="10"/>
    <w:rPr>
      <w:rFonts w:ascii="Cambria" w:hAnsi="Cambria" w:cs="Times New Roman"/>
      <w:b/>
      <w:bCs/>
      <w:sz w:val="32"/>
      <w:szCs w:val="32"/>
    </w:rPr>
  </w:style>
  <w:style w:type="character" w:customStyle="1" w:styleId="64">
    <w:name w:val="font191"/>
    <w:unhideWhenUsed/>
    <w:qFormat/>
    <w:uiPriority w:val="99"/>
    <w:rPr>
      <w:rFonts w:ascii="宋体" w:eastAsia="宋体" w:cs="宋体"/>
      <w:color w:val="FF0000"/>
      <w:sz w:val="21"/>
      <w:szCs w:val="21"/>
    </w:rPr>
  </w:style>
  <w:style w:type="character" w:customStyle="1" w:styleId="65">
    <w:name w:val="页眉 Char11"/>
    <w:unhideWhenUsed/>
    <w:qFormat/>
    <w:uiPriority w:val="99"/>
    <w:rPr>
      <w:rFonts w:ascii="Calibri" w:cs="Calibri"/>
      <w:sz w:val="18"/>
      <w:szCs w:val="18"/>
    </w:rPr>
  </w:style>
  <w:style w:type="character" w:customStyle="1" w:styleId="66">
    <w:name w:val="ca-412"/>
    <w:basedOn w:val="35"/>
    <w:qFormat/>
    <w:uiPriority w:val="0"/>
  </w:style>
  <w:style w:type="character" w:customStyle="1" w:styleId="67">
    <w:name w:val="纯文本 Char"/>
    <w:link w:val="17"/>
    <w:qFormat/>
    <w:uiPriority w:val="0"/>
    <w:rPr>
      <w:rFonts w:ascii="宋体" w:hAnsi="Courier New" w:eastAsia="宋体"/>
      <w:kern w:val="2"/>
      <w:sz w:val="21"/>
      <w:lang w:val="en-US" w:eastAsia="zh-CN" w:bidi="ar-SA"/>
    </w:rPr>
  </w:style>
  <w:style w:type="character" w:customStyle="1" w:styleId="68">
    <w:name w:val="页脚 Char24"/>
    <w:semiHidden/>
    <w:qFormat/>
    <w:uiPriority w:val="99"/>
    <w:rPr>
      <w:rFonts w:ascii="Calibri" w:hAnsi="Calibri" w:cs="宋体"/>
      <w:sz w:val="18"/>
      <w:szCs w:val="18"/>
    </w:rPr>
  </w:style>
  <w:style w:type="character" w:customStyle="1" w:styleId="69">
    <w:name w:val="页脚 Char21"/>
    <w:semiHidden/>
    <w:qFormat/>
    <w:uiPriority w:val="99"/>
    <w:rPr>
      <w:rFonts w:ascii="Calibri" w:hAnsi="Calibri" w:cs="宋体"/>
      <w:sz w:val="18"/>
      <w:szCs w:val="18"/>
    </w:rPr>
  </w:style>
  <w:style w:type="character" w:customStyle="1" w:styleId="70">
    <w:name w:val="页脚 Char11"/>
    <w:unhideWhenUsed/>
    <w:qFormat/>
    <w:uiPriority w:val="99"/>
    <w:rPr>
      <w:rFonts w:ascii="Calibri" w:cs="Calibri"/>
      <w:sz w:val="18"/>
      <w:szCs w:val="18"/>
    </w:rPr>
  </w:style>
  <w:style w:type="character" w:customStyle="1" w:styleId="71">
    <w:name w:val="apple-converted-space"/>
    <w:basedOn w:val="35"/>
    <w:qFormat/>
    <w:uiPriority w:val="0"/>
  </w:style>
  <w:style w:type="character" w:customStyle="1" w:styleId="72">
    <w:name w:val="标题 Char11"/>
    <w:unhideWhenUsed/>
    <w:qFormat/>
    <w:uiPriority w:val="99"/>
    <w:rPr>
      <w:rFonts w:ascii="Cambria" w:cs="Cambria"/>
      <w:b/>
      <w:bCs/>
      <w:sz w:val="32"/>
      <w:szCs w:val="32"/>
    </w:rPr>
  </w:style>
  <w:style w:type="character" w:customStyle="1" w:styleId="73">
    <w:name w:val="页眉 Char25"/>
    <w:semiHidden/>
    <w:qFormat/>
    <w:uiPriority w:val="99"/>
    <w:rPr>
      <w:rFonts w:ascii="Calibri" w:hAnsi="Calibri" w:cs="宋体"/>
      <w:sz w:val="18"/>
      <w:szCs w:val="18"/>
    </w:rPr>
  </w:style>
  <w:style w:type="character" w:customStyle="1" w:styleId="74">
    <w:name w:val="正文首行缩进 Char"/>
    <w:link w:val="9"/>
    <w:qFormat/>
    <w:uiPriority w:val="0"/>
    <w:rPr>
      <w:rFonts w:eastAsia="宋体"/>
      <w:kern w:val="2"/>
      <w:sz w:val="21"/>
      <w:szCs w:val="24"/>
      <w:lang w:val="en-US" w:eastAsia="zh-CN" w:bidi="ar-SA"/>
    </w:rPr>
  </w:style>
  <w:style w:type="character" w:customStyle="1" w:styleId="75">
    <w:name w:val="正文文本缩进 2 Char"/>
    <w:link w:val="20"/>
    <w:qFormat/>
    <w:uiPriority w:val="0"/>
    <w:rPr>
      <w:kern w:val="2"/>
      <w:sz w:val="21"/>
      <w:szCs w:val="24"/>
    </w:rPr>
  </w:style>
  <w:style w:type="character" w:customStyle="1" w:styleId="76">
    <w:name w:val="页脚 Char2"/>
    <w:semiHidden/>
    <w:qFormat/>
    <w:uiPriority w:val="99"/>
    <w:rPr>
      <w:rFonts w:ascii="Calibri" w:hAnsi="Calibri" w:cs="宋体"/>
      <w:sz w:val="18"/>
      <w:szCs w:val="18"/>
    </w:rPr>
  </w:style>
  <w:style w:type="character" w:customStyle="1" w:styleId="77">
    <w:name w:val="页脚 Char12"/>
    <w:unhideWhenUsed/>
    <w:qFormat/>
    <w:uiPriority w:val="99"/>
    <w:rPr>
      <w:rFonts w:ascii="Calibri" w:cs="Calibri"/>
      <w:sz w:val="18"/>
      <w:szCs w:val="18"/>
    </w:rPr>
  </w:style>
  <w:style w:type="character" w:customStyle="1" w:styleId="78">
    <w:name w:val="页眉 Char21"/>
    <w:semiHidden/>
    <w:qFormat/>
    <w:uiPriority w:val="99"/>
    <w:rPr>
      <w:rFonts w:ascii="Calibri" w:hAnsi="Calibri" w:cs="宋体"/>
      <w:sz w:val="18"/>
      <w:szCs w:val="18"/>
    </w:rPr>
  </w:style>
  <w:style w:type="character" w:customStyle="1" w:styleId="79">
    <w:name w:val="页眉 Char23"/>
    <w:semiHidden/>
    <w:qFormat/>
    <w:uiPriority w:val="99"/>
    <w:rPr>
      <w:rFonts w:ascii="Calibri" w:hAnsi="Calibri" w:cs="宋体"/>
      <w:sz w:val="18"/>
      <w:szCs w:val="18"/>
    </w:rPr>
  </w:style>
  <w:style w:type="character" w:customStyle="1" w:styleId="80">
    <w:name w:val="font41"/>
    <w:unhideWhenUsed/>
    <w:qFormat/>
    <w:uiPriority w:val="99"/>
    <w:rPr>
      <w:rFonts w:ascii="宋体" w:eastAsia="宋体" w:cs="宋体"/>
      <w:color w:val="000000"/>
      <w:sz w:val="18"/>
      <w:szCs w:val="18"/>
    </w:rPr>
  </w:style>
  <w:style w:type="character" w:customStyle="1" w:styleId="81">
    <w:name w:val="普通正文 Char"/>
    <w:link w:val="82"/>
    <w:qFormat/>
    <w:uiPriority w:val="0"/>
    <w:rPr>
      <w:rFonts w:ascii="Arial" w:hAnsi="Arial"/>
      <w:sz w:val="24"/>
      <w:szCs w:val="24"/>
    </w:rPr>
  </w:style>
  <w:style w:type="paragraph" w:customStyle="1" w:styleId="82">
    <w:name w:val="普通正文"/>
    <w:basedOn w:val="1"/>
    <w:link w:val="8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83">
    <w:name w:val="页眉 Char2"/>
    <w:semiHidden/>
    <w:qFormat/>
    <w:uiPriority w:val="99"/>
    <w:rPr>
      <w:rFonts w:ascii="Calibri" w:hAnsi="Calibri" w:cs="宋体"/>
      <w:sz w:val="18"/>
      <w:szCs w:val="18"/>
    </w:rPr>
  </w:style>
  <w:style w:type="character" w:customStyle="1" w:styleId="84">
    <w:name w:val="font171"/>
    <w:unhideWhenUsed/>
    <w:qFormat/>
    <w:uiPriority w:val="99"/>
    <w:rPr>
      <w:rFonts w:ascii="宋体" w:eastAsia="宋体" w:cs="宋体"/>
      <w:color w:val="000000"/>
      <w:sz w:val="20"/>
      <w:szCs w:val="20"/>
    </w:rPr>
  </w:style>
  <w:style w:type="character" w:customStyle="1" w:styleId="85">
    <w:name w:val="普通文字1 Char1"/>
    <w:qFormat/>
    <w:uiPriority w:val="0"/>
    <w:rPr>
      <w:rFonts w:ascii="宋体" w:hAnsi="Courier New" w:eastAsia="宋体"/>
      <w:kern w:val="2"/>
      <w:sz w:val="21"/>
      <w:lang w:val="en-US" w:eastAsia="zh-CN" w:bidi="ar-SA"/>
    </w:rPr>
  </w:style>
  <w:style w:type="character" w:customStyle="1" w:styleId="86">
    <w:name w:val="HTML 预设格式 Char"/>
    <w:link w:val="32"/>
    <w:qFormat/>
    <w:uiPriority w:val="0"/>
    <w:rPr>
      <w:rFonts w:ascii="宋体" w:hAnsi="宋体" w:cs="宋体"/>
      <w:sz w:val="24"/>
      <w:szCs w:val="24"/>
    </w:rPr>
  </w:style>
  <w:style w:type="character" w:customStyle="1" w:styleId="87">
    <w:name w:val="标题 Char3"/>
    <w:qFormat/>
    <w:uiPriority w:val="0"/>
    <w:rPr>
      <w:rFonts w:ascii="Cambria" w:hAnsi="Cambria" w:cs="Times New Roman"/>
      <w:b/>
      <w:bCs/>
      <w:kern w:val="2"/>
      <w:sz w:val="32"/>
      <w:szCs w:val="32"/>
    </w:rPr>
  </w:style>
  <w:style w:type="character" w:customStyle="1" w:styleId="88">
    <w:name w:val="标题 Char1"/>
    <w:unhideWhenUsed/>
    <w:qFormat/>
    <w:uiPriority w:val="99"/>
    <w:rPr>
      <w:rFonts w:ascii="Cambria" w:cs="Cambria"/>
      <w:b/>
      <w:bCs/>
      <w:sz w:val="32"/>
      <w:szCs w:val="32"/>
    </w:rPr>
  </w:style>
  <w:style w:type="character" w:customStyle="1" w:styleId="89">
    <w:name w:val="font31"/>
    <w:unhideWhenUsed/>
    <w:qFormat/>
    <w:uiPriority w:val="99"/>
    <w:rPr>
      <w:rFonts w:ascii="宋体" w:eastAsia="宋体" w:cs="宋体"/>
      <w:color w:val="000000"/>
      <w:sz w:val="18"/>
      <w:szCs w:val="18"/>
    </w:rPr>
  </w:style>
  <w:style w:type="character" w:customStyle="1" w:styleId="90">
    <w:name w:val="标题 Char21"/>
    <w:qFormat/>
    <w:uiPriority w:val="10"/>
    <w:rPr>
      <w:rFonts w:ascii="Cambria" w:hAnsi="Cambria" w:cs="Times New Roman"/>
      <w:b/>
      <w:bCs/>
      <w:sz w:val="32"/>
      <w:szCs w:val="32"/>
    </w:rPr>
  </w:style>
  <w:style w:type="character" w:customStyle="1" w:styleId="91">
    <w:name w:val="页脚 Char1"/>
    <w:unhideWhenUsed/>
    <w:qFormat/>
    <w:uiPriority w:val="99"/>
    <w:rPr>
      <w:rFonts w:ascii="Calibri" w:cs="Calibri"/>
      <w:sz w:val="18"/>
      <w:szCs w:val="18"/>
    </w:rPr>
  </w:style>
  <w:style w:type="character" w:customStyle="1" w:styleId="92">
    <w:name w:val="页眉 Char12"/>
    <w:unhideWhenUsed/>
    <w:qFormat/>
    <w:uiPriority w:val="99"/>
    <w:rPr>
      <w:rFonts w:ascii="Calibri" w:cs="Calibri"/>
      <w:sz w:val="18"/>
      <w:szCs w:val="18"/>
    </w:rPr>
  </w:style>
  <w:style w:type="character" w:customStyle="1" w:styleId="93">
    <w:name w:val="页眉 Char22"/>
    <w:semiHidden/>
    <w:qFormat/>
    <w:uiPriority w:val="99"/>
    <w:rPr>
      <w:rFonts w:ascii="Calibri" w:hAnsi="Calibri" w:cs="宋体"/>
      <w:sz w:val="18"/>
      <w:szCs w:val="18"/>
    </w:rPr>
  </w:style>
  <w:style w:type="character" w:customStyle="1" w:styleId="94">
    <w:name w:val="font51"/>
    <w:unhideWhenUsed/>
    <w:qFormat/>
    <w:uiPriority w:val="99"/>
    <w:rPr>
      <w:rFonts w:ascii="宋体" w:eastAsia="宋体" w:cs="宋体"/>
      <w:color w:val="000000"/>
      <w:sz w:val="18"/>
      <w:szCs w:val="18"/>
    </w:rPr>
  </w:style>
  <w:style w:type="character" w:customStyle="1" w:styleId="95">
    <w:name w:val="标题 Char23"/>
    <w:qFormat/>
    <w:uiPriority w:val="10"/>
    <w:rPr>
      <w:rFonts w:ascii="Cambria" w:hAnsi="Cambria" w:cs="Times New Roman"/>
      <w:b/>
      <w:bCs/>
      <w:sz w:val="32"/>
      <w:szCs w:val="32"/>
    </w:rPr>
  </w:style>
  <w:style w:type="character" w:customStyle="1" w:styleId="96">
    <w:name w:val="font201"/>
    <w:unhideWhenUsed/>
    <w:qFormat/>
    <w:uiPriority w:val="99"/>
    <w:rPr>
      <w:rFonts w:ascii="宋体" w:eastAsia="宋体" w:cs="宋体"/>
      <w:color w:val="000000"/>
      <w:sz w:val="21"/>
      <w:szCs w:val="21"/>
      <w:u w:val="single"/>
    </w:rPr>
  </w:style>
  <w:style w:type="character" w:customStyle="1" w:styleId="97">
    <w:name w:val="页脚 Char22"/>
    <w:semiHidden/>
    <w:qFormat/>
    <w:uiPriority w:val="99"/>
    <w:rPr>
      <w:rFonts w:ascii="Calibri" w:hAnsi="Calibri" w:cs="宋体"/>
      <w:sz w:val="18"/>
      <w:szCs w:val="18"/>
    </w:rPr>
  </w:style>
  <w:style w:type="character" w:customStyle="1" w:styleId="98">
    <w:name w:val="副标题 Char"/>
    <w:link w:val="26"/>
    <w:qFormat/>
    <w:uiPriority w:val="0"/>
    <w:rPr>
      <w:rFonts w:ascii="Cambria" w:hAnsi="Cambria" w:cs="Times New Roman"/>
      <w:b/>
      <w:bCs/>
      <w:kern w:val="28"/>
      <w:sz w:val="32"/>
      <w:szCs w:val="32"/>
    </w:rPr>
  </w:style>
  <w:style w:type="character" w:customStyle="1" w:styleId="99">
    <w:name w:val="font181"/>
    <w:unhideWhenUsed/>
    <w:qFormat/>
    <w:uiPriority w:val="99"/>
    <w:rPr>
      <w:rFonts w:cs="Times New Roman"/>
      <w:color w:val="000000"/>
      <w:sz w:val="18"/>
      <w:szCs w:val="18"/>
    </w:rPr>
  </w:style>
  <w:style w:type="character" w:customStyle="1" w:styleId="100">
    <w:name w:val="font11"/>
    <w:unhideWhenUsed/>
    <w:qFormat/>
    <w:uiPriority w:val="99"/>
    <w:rPr>
      <w:rFonts w:ascii="宋体" w:eastAsia="宋体" w:cs="宋体"/>
      <w:color w:val="000000"/>
      <w:sz w:val="18"/>
      <w:szCs w:val="18"/>
    </w:rPr>
  </w:style>
  <w:style w:type="character" w:customStyle="1" w:styleId="101">
    <w:name w:val="标题 Char14"/>
    <w:unhideWhenUsed/>
    <w:qFormat/>
    <w:uiPriority w:val="99"/>
    <w:rPr>
      <w:rFonts w:ascii="Cambria" w:cs="Cambria"/>
      <w:b/>
      <w:bCs/>
      <w:sz w:val="32"/>
      <w:szCs w:val="32"/>
    </w:rPr>
  </w:style>
  <w:style w:type="character" w:customStyle="1" w:styleId="102">
    <w:name w:val="font21"/>
    <w:unhideWhenUsed/>
    <w:qFormat/>
    <w:uiPriority w:val="99"/>
    <w:rPr>
      <w:rFonts w:ascii="宋体" w:eastAsia="宋体" w:cs="宋体"/>
      <w:color w:val="000000"/>
      <w:sz w:val="18"/>
      <w:szCs w:val="18"/>
    </w:rPr>
  </w:style>
  <w:style w:type="character" w:customStyle="1" w:styleId="103">
    <w:name w:val="标题 Char"/>
    <w:link w:val="34"/>
    <w:unhideWhenUsed/>
    <w:qFormat/>
    <w:locked/>
    <w:uiPriority w:val="99"/>
    <w:rPr>
      <w:rFonts w:ascii="Cambria" w:cs="Cambria"/>
      <w:b/>
      <w:bCs/>
      <w:sz w:val="32"/>
      <w:szCs w:val="32"/>
      <w:lang w:val="zh-CN"/>
    </w:rPr>
  </w:style>
  <w:style w:type="character" w:customStyle="1" w:styleId="104">
    <w:name w:val="页脚 Char23"/>
    <w:semiHidden/>
    <w:qFormat/>
    <w:uiPriority w:val="99"/>
    <w:rPr>
      <w:rFonts w:ascii="Calibri" w:hAnsi="Calibri" w:cs="宋体"/>
      <w:sz w:val="18"/>
      <w:szCs w:val="18"/>
    </w:rPr>
  </w:style>
  <w:style w:type="character" w:customStyle="1" w:styleId="105">
    <w:name w:val="Default Char"/>
    <w:link w:val="106"/>
    <w:qFormat/>
    <w:locked/>
    <w:uiPriority w:val="99"/>
    <w:rPr>
      <w:rFonts w:ascii="MS Mincho" w:hAnsi="Calibri" w:eastAsia="MS Mincho"/>
      <w:color w:val="000000"/>
      <w:sz w:val="24"/>
      <w:szCs w:val="24"/>
      <w:lang w:bidi="ar-SA"/>
    </w:rPr>
  </w:style>
  <w:style w:type="paragraph" w:customStyle="1" w:styleId="106">
    <w:name w:val="Default"/>
    <w:link w:val="105"/>
    <w:qFormat/>
    <w:uiPriority w:val="99"/>
    <w:pPr>
      <w:widowControl w:val="0"/>
      <w:autoSpaceDE w:val="0"/>
      <w:autoSpaceDN w:val="0"/>
      <w:adjustRightInd w:val="0"/>
    </w:pPr>
    <w:rPr>
      <w:rFonts w:ascii="MS Mincho" w:hAnsi="Calibri" w:eastAsia="MS Mincho" w:cs="Times New Roman"/>
      <w:color w:val="000000"/>
      <w:sz w:val="24"/>
      <w:szCs w:val="24"/>
      <w:lang w:val="en-US" w:eastAsia="zh-CN" w:bidi="ar-SA"/>
    </w:rPr>
  </w:style>
  <w:style w:type="character" w:customStyle="1" w:styleId="107">
    <w:name w:val="ca-72"/>
    <w:basedOn w:val="35"/>
    <w:qFormat/>
    <w:uiPriority w:val="0"/>
  </w:style>
  <w:style w:type="character" w:customStyle="1" w:styleId="108">
    <w:name w:val="页眉 Char"/>
    <w:link w:val="23"/>
    <w:unhideWhenUsed/>
    <w:qFormat/>
    <w:locked/>
    <w:uiPriority w:val="99"/>
    <w:rPr>
      <w:kern w:val="2"/>
      <w:sz w:val="18"/>
      <w:szCs w:val="18"/>
    </w:rPr>
  </w:style>
  <w:style w:type="character" w:customStyle="1" w:styleId="109">
    <w:name w:val="页眉 Char24"/>
    <w:semiHidden/>
    <w:qFormat/>
    <w:uiPriority w:val="99"/>
    <w:rPr>
      <w:rFonts w:ascii="Calibri" w:hAnsi="Calibri" w:cs="宋体"/>
      <w:sz w:val="18"/>
      <w:szCs w:val="18"/>
    </w:rPr>
  </w:style>
  <w:style w:type="character" w:customStyle="1" w:styleId="110">
    <w:name w:val="font61"/>
    <w:unhideWhenUsed/>
    <w:qFormat/>
    <w:uiPriority w:val="99"/>
    <w:rPr>
      <w:rFonts w:ascii="宋体" w:eastAsia="宋体" w:cs="宋体"/>
      <w:color w:val="000000"/>
      <w:sz w:val="18"/>
      <w:szCs w:val="18"/>
    </w:rPr>
  </w:style>
  <w:style w:type="character" w:customStyle="1" w:styleId="111">
    <w:name w:val="font121"/>
    <w:unhideWhenUsed/>
    <w:qFormat/>
    <w:uiPriority w:val="99"/>
    <w:rPr>
      <w:rFonts w:ascii="Tahoma" w:cs="Tahoma"/>
      <w:color w:val="000000"/>
      <w:sz w:val="18"/>
      <w:szCs w:val="18"/>
    </w:rPr>
  </w:style>
  <w:style w:type="character" w:customStyle="1" w:styleId="112">
    <w:name w:val="页脚 Char"/>
    <w:link w:val="22"/>
    <w:unhideWhenUsed/>
    <w:qFormat/>
    <w:locked/>
    <w:uiPriority w:val="99"/>
    <w:rPr>
      <w:rFonts w:ascii="宋体" w:hAnsi="Courier New"/>
      <w:kern w:val="2"/>
      <w:sz w:val="18"/>
    </w:rPr>
  </w:style>
  <w:style w:type="character" w:customStyle="1" w:styleId="113">
    <w:name w:val="页脚 Char14"/>
    <w:unhideWhenUsed/>
    <w:qFormat/>
    <w:uiPriority w:val="99"/>
    <w:rPr>
      <w:rFonts w:ascii="Calibri" w:cs="Calibri"/>
      <w:sz w:val="18"/>
      <w:szCs w:val="18"/>
    </w:rPr>
  </w:style>
  <w:style w:type="character" w:customStyle="1" w:styleId="114">
    <w:name w:val="标题 1 Char"/>
    <w:link w:val="2"/>
    <w:unhideWhenUsed/>
    <w:qFormat/>
    <w:locked/>
    <w:uiPriority w:val="99"/>
    <w:rPr>
      <w:rFonts w:eastAsia="黑体"/>
      <w:b/>
      <w:kern w:val="44"/>
      <w:sz w:val="28"/>
    </w:rPr>
  </w:style>
  <w:style w:type="character" w:customStyle="1" w:styleId="115">
    <w:name w:val="font151"/>
    <w:unhideWhenUsed/>
    <w:qFormat/>
    <w:uiPriority w:val="99"/>
    <w:rPr>
      <w:rFonts w:ascii="宋体" w:eastAsia="宋体" w:cs="宋体"/>
      <w:color w:val="FF0000"/>
      <w:sz w:val="20"/>
      <w:szCs w:val="20"/>
    </w:rPr>
  </w:style>
  <w:style w:type="character" w:customStyle="1" w:styleId="116">
    <w:name w:val="页眉 Char13"/>
    <w:unhideWhenUsed/>
    <w:qFormat/>
    <w:uiPriority w:val="99"/>
    <w:rPr>
      <w:rFonts w:ascii="Calibri" w:cs="Calibri"/>
      <w:sz w:val="18"/>
      <w:szCs w:val="18"/>
    </w:rPr>
  </w:style>
  <w:style w:type="paragraph" w:customStyle="1" w:styleId="11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kern w:val="0"/>
      <w:sz w:val="18"/>
      <w:szCs w:val="18"/>
    </w:rPr>
  </w:style>
  <w:style w:type="paragraph" w:customStyle="1" w:styleId="11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9">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0">
    <w:name w:val="Table Paragraph"/>
    <w:basedOn w:val="1"/>
    <w:qFormat/>
    <w:uiPriority w:val="99"/>
    <w:pPr>
      <w:autoSpaceDE w:val="0"/>
      <w:autoSpaceDN w:val="0"/>
      <w:adjustRightInd w:val="0"/>
      <w:jc w:val="left"/>
    </w:pPr>
    <w:rPr>
      <w:kern w:val="0"/>
      <w:sz w:val="24"/>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b/>
      <w:bCs/>
      <w:kern w:val="0"/>
      <w:sz w:val="18"/>
      <w:szCs w:val="18"/>
    </w:rPr>
  </w:style>
  <w:style w:type="paragraph" w:customStyle="1" w:styleId="12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12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2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26">
    <w:name w:val="TOC Heading"/>
    <w:basedOn w:val="2"/>
    <w:next w:val="1"/>
    <w:qFormat/>
    <w:uiPriority w:val="39"/>
    <w:pPr>
      <w:widowControl/>
      <w:adjustRightInd/>
      <w:spacing w:before="480" w:line="276" w:lineRule="auto"/>
      <w:ind w:left="0" w:firstLine="0"/>
      <w:jc w:val="left"/>
      <w:textAlignment w:val="auto"/>
      <w:outlineLvl w:val="9"/>
    </w:pPr>
    <w:rPr>
      <w:rFonts w:ascii="Cambria" w:hAnsi="Cambria" w:eastAsia="宋体"/>
      <w:bCs/>
      <w:color w:val="365F91"/>
      <w:kern w:val="0"/>
      <w:szCs w:val="28"/>
    </w:rPr>
  </w:style>
  <w:style w:type="paragraph" w:customStyle="1" w:styleId="127">
    <w:name w:val="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28">
    <w:name w:val="xl112"/>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29">
    <w:name w:val="Char Char1 Char Char Char"/>
    <w:basedOn w:val="1"/>
    <w:qFormat/>
    <w:uiPriority w:val="0"/>
    <w:rPr>
      <w:szCs w:val="20"/>
    </w:rPr>
  </w:style>
  <w:style w:type="paragraph" w:customStyle="1" w:styleId="130">
    <w:name w:val="table_1stline"/>
    <w:basedOn w:val="1"/>
    <w:qFormat/>
    <w:uiPriority w:val="0"/>
    <w:pPr>
      <w:widowControl/>
      <w:spacing w:before="120"/>
      <w:jc w:val="left"/>
    </w:pPr>
    <w:rPr>
      <w:rFonts w:eastAsia="MS Mincho"/>
      <w:bCs/>
      <w:kern w:val="0"/>
      <w:sz w:val="20"/>
      <w:szCs w:val="20"/>
      <w:lang w:val="de-DE" w:eastAsia="de-DE"/>
    </w:rPr>
  </w:style>
  <w:style w:type="paragraph" w:customStyle="1" w:styleId="131">
    <w:name w:val="纯文本1"/>
    <w:basedOn w:val="1"/>
    <w:qFormat/>
    <w:uiPriority w:val="0"/>
    <w:rPr>
      <w:rFonts w:ascii="宋体" w:hAnsi="Courier New"/>
    </w:rPr>
  </w:style>
  <w:style w:type="paragraph" w:customStyle="1" w:styleId="132">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kern w:val="0"/>
      <w:sz w:val="18"/>
      <w:szCs w:val="18"/>
    </w:rPr>
  </w:style>
  <w:style w:type="paragraph" w:customStyle="1" w:styleId="133">
    <w:name w:val="xl114"/>
    <w:basedOn w:val="1"/>
    <w:uiPriority w:val="0"/>
    <w:pPr>
      <w:widowControl/>
      <w:pBdr>
        <w:top w:val="single" w:color="auto" w:sz="4" w:space="0"/>
        <w:left w:val="single" w:color="auto" w:sz="4" w:space="0"/>
        <w:right w:val="single" w:color="auto" w:sz="4" w:space="0"/>
      </w:pBdr>
      <w:shd w:val="clear" w:color="000000" w:fill="FBD4B4"/>
      <w:spacing w:before="100" w:beforeAutospacing="1" w:after="100" w:afterAutospacing="1"/>
      <w:jc w:val="left"/>
      <w:textAlignment w:val="center"/>
    </w:pPr>
    <w:rPr>
      <w:rFonts w:ascii="宋体" w:hAnsi="宋体" w:cs="宋体"/>
      <w:b/>
      <w:bCs/>
      <w:kern w:val="0"/>
      <w:sz w:val="18"/>
      <w:szCs w:val="18"/>
    </w:rPr>
  </w:style>
  <w:style w:type="paragraph" w:customStyle="1" w:styleId="13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35">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18"/>
      <w:szCs w:val="18"/>
    </w:rPr>
  </w:style>
  <w:style w:type="paragraph" w:customStyle="1" w:styleId="13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8"/>
      <w:szCs w:val="18"/>
    </w:rPr>
  </w:style>
  <w:style w:type="paragraph" w:customStyle="1" w:styleId="13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18"/>
      <w:szCs w:val="18"/>
    </w:rPr>
  </w:style>
  <w:style w:type="paragraph" w:customStyle="1" w:styleId="13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BD4B4"/>
      <w:spacing w:before="100" w:beforeAutospacing="1" w:after="100" w:afterAutospacing="1"/>
      <w:jc w:val="center"/>
      <w:textAlignment w:val="center"/>
    </w:pPr>
    <w:rPr>
      <w:rFonts w:ascii="宋体" w:hAnsi="宋体" w:cs="宋体"/>
      <w:b/>
      <w:bCs/>
      <w:kern w:val="0"/>
      <w:sz w:val="18"/>
      <w:szCs w:val="18"/>
    </w:rPr>
  </w:style>
  <w:style w:type="paragraph" w:customStyle="1" w:styleId="139">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B0F0"/>
      <w:kern w:val="0"/>
      <w:sz w:val="18"/>
      <w:szCs w:val="18"/>
    </w:rPr>
  </w:style>
  <w:style w:type="paragraph" w:customStyle="1" w:styleId="140">
    <w:name w:val="xl11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42">
    <w:name w:val="xl76"/>
    <w:basedOn w:val="1"/>
    <w:uiPriority w:val="0"/>
    <w:pPr>
      <w:widowControl/>
      <w:pBdr>
        <w:top w:val="single" w:color="auto" w:sz="4" w:space="0"/>
        <w:left w:val="single" w:color="auto" w:sz="4" w:space="0"/>
        <w:bottom w:val="single" w:color="auto" w:sz="4" w:space="0"/>
        <w:right w:val="single" w:color="auto" w:sz="4" w:space="0"/>
      </w:pBdr>
      <w:shd w:val="clear" w:color="000000" w:fill="FBD4B4"/>
      <w:spacing w:before="100" w:beforeAutospacing="1" w:after="100" w:afterAutospacing="1"/>
      <w:jc w:val="center"/>
      <w:textAlignment w:val="center"/>
    </w:pPr>
    <w:rPr>
      <w:rFonts w:ascii="宋体" w:hAnsi="宋体" w:cs="宋体"/>
      <w:kern w:val="0"/>
      <w:sz w:val="18"/>
      <w:szCs w:val="18"/>
    </w:rPr>
  </w:style>
  <w:style w:type="paragraph" w:customStyle="1" w:styleId="14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4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B0F0"/>
      <w:kern w:val="0"/>
      <w:sz w:val="18"/>
      <w:szCs w:val="18"/>
    </w:rPr>
  </w:style>
  <w:style w:type="paragraph" w:customStyle="1" w:styleId="145">
    <w:name w:val="xl108"/>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46">
    <w:name w:val="xl93"/>
    <w:basedOn w:val="1"/>
    <w:qFormat/>
    <w:uiPriority w:val="0"/>
    <w:pPr>
      <w:widowControl/>
      <w:pBdr>
        <w:top w:val="single" w:color="auto" w:sz="4" w:space="0"/>
        <w:left w:val="single" w:color="auto" w:sz="4" w:space="0"/>
        <w:right w:val="single" w:color="auto" w:sz="4" w:space="0"/>
      </w:pBdr>
      <w:shd w:val="clear" w:color="000000" w:fill="FBD4B4"/>
      <w:spacing w:before="100" w:beforeAutospacing="1" w:after="100" w:afterAutospacing="1"/>
      <w:jc w:val="left"/>
      <w:textAlignment w:val="center"/>
    </w:pPr>
    <w:rPr>
      <w:rFonts w:ascii="宋体" w:hAnsi="宋体" w:cs="宋体"/>
      <w:b/>
      <w:bCs/>
      <w:kern w:val="0"/>
      <w:sz w:val="18"/>
      <w:szCs w:val="18"/>
    </w:rPr>
  </w:style>
  <w:style w:type="paragraph" w:customStyle="1" w:styleId="14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48">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9">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18"/>
      <w:szCs w:val="18"/>
    </w:rPr>
  </w:style>
  <w:style w:type="paragraph" w:customStyle="1" w:styleId="150">
    <w:name w:val="xl109"/>
    <w:basedOn w:val="1"/>
    <w:qFormat/>
    <w:uiPriority w:val="0"/>
    <w:pPr>
      <w:widowControl/>
      <w:spacing w:before="100" w:beforeAutospacing="1" w:after="100" w:afterAutospacing="1"/>
      <w:jc w:val="center"/>
    </w:pPr>
    <w:rPr>
      <w:rFonts w:ascii="宋体" w:hAnsi="宋体" w:cs="宋体"/>
      <w:kern w:val="0"/>
      <w:sz w:val="18"/>
      <w:szCs w:val="18"/>
    </w:rPr>
  </w:style>
  <w:style w:type="paragraph" w:styleId="151">
    <w:name w:val="List Paragraph"/>
    <w:basedOn w:val="1"/>
    <w:qFormat/>
    <w:uiPriority w:val="99"/>
    <w:pPr>
      <w:ind w:firstLine="420" w:firstLineChars="200"/>
    </w:pPr>
  </w:style>
  <w:style w:type="paragraph" w:styleId="15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3">
    <w:name w:val="xl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5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55">
    <w:name w:val="g3"/>
    <w:basedOn w:val="1"/>
    <w:qFormat/>
    <w:uiPriority w:val="0"/>
    <w:pPr>
      <w:widowControl/>
      <w:spacing w:before="100" w:beforeAutospacing="1" w:after="100" w:afterAutospacing="1" w:line="675" w:lineRule="atLeast"/>
      <w:jc w:val="left"/>
    </w:pPr>
    <w:rPr>
      <w:rFonts w:hint="eastAsia" w:ascii="华文中宋" w:hAnsi="华文中宋" w:eastAsia="华文中宋"/>
      <w:kern w:val="0"/>
      <w:sz w:val="42"/>
      <w:szCs w:val="42"/>
    </w:rPr>
  </w:style>
  <w:style w:type="paragraph" w:customStyle="1" w:styleId="156">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157">
    <w:name w:val="para"/>
    <w:basedOn w:val="1"/>
    <w:uiPriority w:val="0"/>
    <w:pPr>
      <w:widowControl/>
      <w:adjustRightInd w:val="0"/>
      <w:spacing w:before="160" w:line="360" w:lineRule="auto"/>
      <w:ind w:firstLine="425"/>
      <w:textAlignment w:val="baseline"/>
    </w:pPr>
    <w:rPr>
      <w:kern w:val="0"/>
      <w:sz w:val="24"/>
      <w:szCs w:val="20"/>
      <w:lang w:eastAsia="en-US"/>
    </w:rPr>
  </w:style>
  <w:style w:type="paragraph" w:customStyle="1" w:styleId="15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BD4B4"/>
      <w:spacing w:before="100" w:beforeAutospacing="1" w:after="100" w:afterAutospacing="1"/>
      <w:jc w:val="left"/>
      <w:textAlignment w:val="center"/>
    </w:pPr>
    <w:rPr>
      <w:rFonts w:ascii="宋体" w:hAnsi="宋体" w:cs="宋体"/>
      <w:b/>
      <w:bCs/>
      <w:kern w:val="0"/>
      <w:sz w:val="18"/>
      <w:szCs w:val="18"/>
    </w:rPr>
  </w:style>
  <w:style w:type="paragraph" w:customStyle="1" w:styleId="159">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60">
    <w:name w:val="xl94"/>
    <w:basedOn w:val="1"/>
    <w:qFormat/>
    <w:uiPriority w:val="0"/>
    <w:pPr>
      <w:widowControl/>
      <w:pBdr>
        <w:top w:val="single" w:color="auto" w:sz="4" w:space="0"/>
        <w:left w:val="single" w:color="auto" w:sz="4" w:space="0"/>
        <w:right w:val="single" w:color="auto" w:sz="4" w:space="0"/>
      </w:pBdr>
      <w:shd w:val="clear" w:color="000000" w:fill="FBD4B4"/>
      <w:spacing w:before="100" w:beforeAutospacing="1" w:after="100" w:afterAutospacing="1"/>
      <w:jc w:val="center"/>
      <w:textAlignment w:val="center"/>
    </w:pPr>
    <w:rPr>
      <w:rFonts w:ascii="宋体" w:hAnsi="宋体" w:cs="宋体"/>
      <w:b/>
      <w:bCs/>
      <w:kern w:val="0"/>
      <w:sz w:val="18"/>
      <w:szCs w:val="18"/>
    </w:rPr>
  </w:style>
  <w:style w:type="paragraph" w:customStyle="1" w:styleId="161">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6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18"/>
      <w:szCs w:val="18"/>
    </w:rPr>
  </w:style>
  <w:style w:type="paragraph" w:customStyle="1" w:styleId="163">
    <w:name w:val="xl95"/>
    <w:basedOn w:val="1"/>
    <w:uiPriority w:val="0"/>
    <w:pPr>
      <w:widowControl/>
      <w:pBdr>
        <w:top w:val="single" w:color="auto" w:sz="4" w:space="0"/>
        <w:left w:val="single" w:color="auto" w:sz="4" w:space="0"/>
        <w:right w:val="single" w:color="auto" w:sz="4" w:space="0"/>
      </w:pBdr>
      <w:shd w:val="clear" w:color="000000" w:fill="FBD4B4"/>
      <w:spacing w:before="100" w:beforeAutospacing="1" w:after="100" w:afterAutospacing="1"/>
      <w:jc w:val="center"/>
      <w:textAlignment w:val="center"/>
    </w:pPr>
    <w:rPr>
      <w:rFonts w:ascii="宋体" w:hAnsi="宋体" w:cs="宋体"/>
      <w:kern w:val="0"/>
      <w:sz w:val="18"/>
      <w:szCs w:val="18"/>
    </w:rPr>
  </w:style>
  <w:style w:type="paragraph" w:customStyle="1" w:styleId="164">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165">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16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169">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70">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B0F0"/>
      <w:kern w:val="0"/>
      <w:sz w:val="18"/>
      <w:szCs w:val="18"/>
    </w:rPr>
  </w:style>
  <w:style w:type="paragraph" w:customStyle="1" w:styleId="17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172">
    <w:name w:val="pa-5"/>
    <w:basedOn w:val="1"/>
    <w:qFormat/>
    <w:uiPriority w:val="0"/>
    <w:pPr>
      <w:widowControl/>
      <w:spacing w:before="100" w:beforeAutospacing="1" w:after="100" w:afterAutospacing="1"/>
      <w:jc w:val="left"/>
    </w:pPr>
    <w:rPr>
      <w:rFonts w:ascii="宋体" w:hAnsi="宋体" w:cs="宋体"/>
      <w:kern w:val="0"/>
      <w:sz w:val="24"/>
    </w:rPr>
  </w:style>
  <w:style w:type="paragraph" w:customStyle="1" w:styleId="173">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BD4B4"/>
      <w:spacing w:before="100" w:beforeAutospacing="1" w:after="100" w:afterAutospacing="1"/>
      <w:jc w:val="center"/>
      <w:textAlignment w:val="center"/>
    </w:pPr>
    <w:rPr>
      <w:rFonts w:ascii="宋体" w:hAnsi="宋体" w:cs="宋体"/>
      <w:b/>
      <w:bCs/>
      <w:kern w:val="0"/>
      <w:sz w:val="18"/>
      <w:szCs w:val="18"/>
    </w:rPr>
  </w:style>
  <w:style w:type="paragraph" w:customStyle="1" w:styleId="17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B0F0"/>
      <w:kern w:val="0"/>
      <w:sz w:val="18"/>
      <w:szCs w:val="18"/>
    </w:rPr>
  </w:style>
  <w:style w:type="paragraph" w:customStyle="1" w:styleId="175">
    <w:name w:val="xl7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6">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BD4B4"/>
      <w:spacing w:before="100" w:beforeAutospacing="1" w:after="100" w:afterAutospacing="1"/>
      <w:jc w:val="left"/>
      <w:textAlignment w:val="center"/>
    </w:pPr>
    <w:rPr>
      <w:rFonts w:ascii="宋体" w:hAnsi="宋体" w:cs="宋体"/>
      <w:b/>
      <w:bCs/>
      <w:kern w:val="0"/>
      <w:sz w:val="18"/>
      <w:szCs w:val="18"/>
    </w:rPr>
  </w:style>
  <w:style w:type="paragraph" w:customStyle="1" w:styleId="17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8">
    <w:name w:val="xl106"/>
    <w:basedOn w:val="1"/>
    <w:qFormat/>
    <w:uiPriority w:val="0"/>
    <w:pPr>
      <w:widowControl/>
      <w:spacing w:before="100" w:beforeAutospacing="1" w:after="100" w:afterAutospacing="1"/>
      <w:jc w:val="left"/>
    </w:pPr>
    <w:rPr>
      <w:rFonts w:ascii="宋体" w:hAnsi="宋体" w:cs="宋体"/>
      <w:color w:val="FF0000"/>
      <w:kern w:val="0"/>
      <w:sz w:val="18"/>
      <w:szCs w:val="18"/>
    </w:rPr>
  </w:style>
  <w:style w:type="paragraph" w:customStyle="1" w:styleId="179">
    <w:name w:val="xl10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0">
    <w:name w:val="Char Char Char Char1"/>
    <w:basedOn w:val="1"/>
    <w:qFormat/>
    <w:uiPriority w:val="0"/>
    <w:rPr>
      <w:rFonts w:ascii="Tahoma" w:hAnsi="Tahoma"/>
      <w:sz w:val="24"/>
      <w:szCs w:val="20"/>
    </w:rPr>
  </w:style>
  <w:style w:type="paragraph" w:customStyle="1" w:styleId="181">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2">
    <w:name w:val="列出段落1"/>
    <w:basedOn w:val="1"/>
    <w:qFormat/>
    <w:uiPriority w:val="0"/>
    <w:pPr>
      <w:ind w:firstLine="420" w:firstLineChars="200"/>
    </w:pPr>
    <w:rPr>
      <w:rFonts w:ascii="Calibri" w:hAnsi="Calibri"/>
      <w:szCs w:val="22"/>
    </w:rPr>
  </w:style>
  <w:style w:type="paragraph" w:customStyle="1" w:styleId="1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184">
    <w:name w:val="p15"/>
    <w:basedOn w:val="1"/>
    <w:qFormat/>
    <w:uiPriority w:val="0"/>
    <w:pPr>
      <w:widowControl/>
    </w:pPr>
    <w:rPr>
      <w:rFonts w:ascii="Calibri" w:hAnsi="Calibri" w:cs="宋体"/>
      <w:kern w:val="0"/>
      <w:szCs w:val="21"/>
    </w:rPr>
  </w:style>
  <w:style w:type="paragraph" w:customStyle="1" w:styleId="185">
    <w:name w:val="xl115"/>
    <w:basedOn w:val="1"/>
    <w:qFormat/>
    <w:uiPriority w:val="0"/>
    <w:pPr>
      <w:widowControl/>
      <w:pBdr>
        <w:top w:val="single" w:color="auto" w:sz="4" w:space="0"/>
        <w:left w:val="single" w:color="auto" w:sz="4" w:space="0"/>
        <w:right w:val="single" w:color="auto" w:sz="4" w:space="0"/>
      </w:pBdr>
      <w:shd w:val="clear" w:color="000000" w:fill="FBD4B4"/>
      <w:spacing w:before="100" w:beforeAutospacing="1" w:after="100" w:afterAutospacing="1"/>
      <w:jc w:val="center"/>
      <w:textAlignment w:val="center"/>
    </w:pPr>
    <w:rPr>
      <w:rFonts w:ascii="宋体" w:hAnsi="宋体" w:cs="宋体"/>
      <w:b/>
      <w:bCs/>
      <w:kern w:val="0"/>
      <w:sz w:val="18"/>
      <w:szCs w:val="18"/>
    </w:rPr>
  </w:style>
  <w:style w:type="paragraph" w:customStyle="1" w:styleId="186">
    <w:name w:val="xl8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87">
    <w:name w:val="ecxmsonormal"/>
    <w:basedOn w:val="1"/>
    <w:qFormat/>
    <w:uiPriority w:val="0"/>
    <w:pPr>
      <w:widowControl/>
      <w:spacing w:after="324"/>
      <w:jc w:val="left"/>
    </w:pPr>
    <w:rPr>
      <w:rFonts w:ascii="宋体" w:hAnsi="宋体" w:cs="宋体"/>
      <w:kern w:val="0"/>
      <w:sz w:val="24"/>
    </w:rPr>
  </w:style>
  <w:style w:type="paragraph" w:customStyle="1" w:styleId="188">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8"/>
      <w:szCs w:val="18"/>
    </w:rPr>
  </w:style>
  <w:style w:type="paragraph" w:customStyle="1" w:styleId="18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kern w:val="0"/>
      <w:sz w:val="18"/>
      <w:szCs w:val="18"/>
    </w:rPr>
  </w:style>
  <w:style w:type="paragraph" w:customStyle="1" w:styleId="190">
    <w:name w:val="Char Char Char Char1 Char Char Char"/>
    <w:basedOn w:val="1"/>
    <w:qFormat/>
    <w:uiPriority w:val="0"/>
    <w:rPr>
      <w:rFonts w:ascii="Tahoma" w:hAnsi="Tahoma"/>
      <w:sz w:val="24"/>
      <w:szCs w:val="20"/>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2">
    <w:name w:val="Char1"/>
    <w:basedOn w:val="1"/>
    <w:qFormat/>
    <w:uiPriority w:val="0"/>
    <w:pPr>
      <w:tabs>
        <w:tab w:val="left" w:pos="360"/>
      </w:tabs>
    </w:pPr>
    <w:rPr>
      <w:sz w:val="24"/>
    </w:rPr>
  </w:style>
  <w:style w:type="paragraph" w:customStyle="1" w:styleId="19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4">
    <w:name w:val="xl110"/>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9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9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9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ZYQ</Company>
  <Pages>52</Pages>
  <Words>9036</Words>
  <Characters>51508</Characters>
  <Lines>429</Lines>
  <Paragraphs>120</Paragraphs>
  <ScaleCrop>false</ScaleCrop>
  <LinksUpToDate>false</LinksUpToDate>
  <CharactersWithSpaces>60424</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2018-06-20T03:44:00Z</dcterms:created>
  <dc:creator>ZZZ</dc:creator>
  <cp:lastModifiedBy>zhu</cp:lastModifiedBy>
  <cp:lastPrinted>2018-06-20T09:08:00Z</cp:lastPrinted>
  <dcterms:modified xsi:type="dcterms:W3CDTF">2018-06-21T09:04:14Z</dcterms:modified>
  <dc:title>附件1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