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EF" w:rsidRDefault="00C40BEF">
      <w:pPr>
        <w:widowControl w:val="0"/>
        <w:snapToGrid/>
        <w:spacing w:after="0"/>
        <w:jc w:val="center"/>
        <w:rPr>
          <w:rFonts w:ascii="仿宋_GB2312" w:eastAsia="仿宋_GB2312"/>
          <w:sz w:val="32"/>
          <w:szCs w:val="32"/>
        </w:rPr>
      </w:pPr>
    </w:p>
    <w:p w:rsidR="00C40BEF" w:rsidRDefault="003570E3">
      <w:pPr>
        <w:widowControl w:val="0"/>
        <w:snapToGrid/>
        <w:spacing w:after="0"/>
        <w:jc w:val="center"/>
        <w:rPr>
          <w:rFonts w:ascii="方正小标宋简体" w:eastAsia="方正小标宋简体"/>
          <w:spacing w:val="-20"/>
          <w:sz w:val="44"/>
          <w:szCs w:val="44"/>
        </w:rPr>
      </w:pPr>
      <w:r>
        <w:rPr>
          <w:rFonts w:ascii="方正小标宋简体" w:eastAsia="方正小标宋简体" w:hint="eastAsia"/>
          <w:spacing w:val="-20"/>
          <w:sz w:val="44"/>
          <w:szCs w:val="44"/>
        </w:rPr>
        <w:t>关于规范建设工程招标代理市场秩序的</w:t>
      </w:r>
    </w:p>
    <w:p w:rsidR="00C40BEF" w:rsidRDefault="003570E3">
      <w:pPr>
        <w:widowControl w:val="0"/>
        <w:snapToGrid/>
        <w:spacing w:after="0"/>
        <w:jc w:val="center"/>
        <w:rPr>
          <w:rFonts w:ascii="方正小标宋简体" w:eastAsia="方正小标宋简体"/>
          <w:spacing w:val="-20"/>
          <w:sz w:val="44"/>
          <w:szCs w:val="44"/>
        </w:rPr>
      </w:pPr>
      <w:r>
        <w:rPr>
          <w:rFonts w:ascii="方正小标宋简体" w:eastAsia="方正小标宋简体" w:hint="eastAsia"/>
          <w:spacing w:val="-20"/>
          <w:sz w:val="44"/>
          <w:szCs w:val="44"/>
        </w:rPr>
        <w:t>通知（试行）</w:t>
      </w:r>
    </w:p>
    <w:p w:rsidR="00C40BEF" w:rsidRDefault="003570E3">
      <w:pPr>
        <w:widowControl w:val="0"/>
        <w:snapToGrid/>
        <w:spacing w:after="0"/>
        <w:jc w:val="center"/>
        <w:rPr>
          <w:rFonts w:ascii="方正小标宋简体" w:eastAsia="方正小标宋简体"/>
          <w:spacing w:val="-20"/>
          <w:sz w:val="36"/>
          <w:szCs w:val="36"/>
        </w:rPr>
      </w:pPr>
      <w:r>
        <w:rPr>
          <w:rFonts w:ascii="方正小标宋简体" w:eastAsia="方正小标宋简体" w:hint="eastAsia"/>
          <w:spacing w:val="-20"/>
          <w:sz w:val="36"/>
          <w:szCs w:val="36"/>
        </w:rPr>
        <w:t>(征求意见稿)</w:t>
      </w:r>
    </w:p>
    <w:p w:rsidR="00C40BEF" w:rsidRDefault="00C40BEF">
      <w:pPr>
        <w:widowControl w:val="0"/>
        <w:snapToGrid/>
        <w:spacing w:after="0"/>
        <w:jc w:val="both"/>
        <w:rPr>
          <w:rFonts w:ascii="宋体" w:eastAsia="宋体" w:hAnsi="宋体"/>
          <w:sz w:val="32"/>
          <w:szCs w:val="32"/>
        </w:rPr>
      </w:pPr>
    </w:p>
    <w:p w:rsidR="00C40BEF" w:rsidRDefault="003570E3">
      <w:pPr>
        <w:widowControl w:val="0"/>
        <w:snapToGrid/>
        <w:spacing w:after="0"/>
        <w:jc w:val="both"/>
        <w:rPr>
          <w:rFonts w:ascii="仿宋_GB2312" w:eastAsia="仿宋_GB2312" w:hAnsi="宋体"/>
          <w:sz w:val="32"/>
          <w:szCs w:val="32"/>
        </w:rPr>
      </w:pPr>
      <w:r>
        <w:rPr>
          <w:rFonts w:ascii="仿宋_GB2312" w:eastAsia="仿宋_GB2312" w:hAnsi="宋体" w:hint="eastAsia"/>
          <w:sz w:val="32"/>
          <w:szCs w:val="32"/>
        </w:rPr>
        <w:t>各县区住建局、政务办、招标办，市各有关单位：</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为有效遏制招标代理机构借牌挂靠，规范我市招标代理市场秩序，鼓励试行工程项目全过程咨询服务，着力推进和打造一批具备工程项目全过程咨询服务能力的机构。根据</w:t>
      </w:r>
      <w:r w:rsidR="00E402DB">
        <w:rPr>
          <w:rFonts w:ascii="仿宋_GB2312" w:eastAsia="仿宋_GB2312" w:hAnsi="宋体" w:hint="eastAsia"/>
          <w:sz w:val="32"/>
          <w:szCs w:val="32"/>
        </w:rPr>
        <w:t>连云港市城乡建设局《关于加强建设工程招标投标管理工作的意见》（连建发[2018]95号）</w:t>
      </w:r>
      <w:r w:rsidR="00B735B4">
        <w:rPr>
          <w:rFonts w:ascii="仿宋_GB2312" w:eastAsia="仿宋_GB2312" w:hAnsi="宋体" w:hint="eastAsia"/>
          <w:sz w:val="32"/>
          <w:szCs w:val="32"/>
        </w:rPr>
        <w:t>，</w:t>
      </w:r>
      <w:r w:rsidR="00E402DB">
        <w:rPr>
          <w:rFonts w:ascii="仿宋_GB2312" w:eastAsia="仿宋_GB2312" w:hAnsi="宋体" w:hint="eastAsia"/>
          <w:sz w:val="32"/>
          <w:szCs w:val="32"/>
        </w:rPr>
        <w:t>参照</w:t>
      </w:r>
      <w:r w:rsidR="00B735B4">
        <w:rPr>
          <w:rFonts w:ascii="仿宋_GB2312" w:eastAsia="仿宋_GB2312" w:hAnsi="宋体" w:hint="eastAsia"/>
          <w:sz w:val="32"/>
          <w:szCs w:val="32"/>
        </w:rPr>
        <w:t>《</w:t>
      </w:r>
      <w:r>
        <w:rPr>
          <w:rFonts w:ascii="仿宋_GB2312" w:eastAsia="仿宋_GB2312" w:hAnsi="宋体" w:hint="eastAsia"/>
          <w:sz w:val="32"/>
          <w:szCs w:val="32"/>
        </w:rPr>
        <w:t>江苏省工程招标代理机构动态考评管理办法（试行）的通知》（苏建招办[2018]9</w:t>
      </w:r>
      <w:r w:rsidR="00B735B4">
        <w:rPr>
          <w:rFonts w:ascii="仿宋_GB2312" w:eastAsia="仿宋_GB2312" w:hAnsi="宋体" w:hint="eastAsia"/>
          <w:sz w:val="32"/>
          <w:szCs w:val="32"/>
        </w:rPr>
        <w:t>号）（以下简称“动态管理办法”）</w:t>
      </w:r>
      <w:r>
        <w:rPr>
          <w:rFonts w:ascii="仿宋_GB2312" w:eastAsia="仿宋_GB2312" w:hAnsi="宋体" w:hint="eastAsia"/>
          <w:sz w:val="32"/>
          <w:szCs w:val="32"/>
        </w:rPr>
        <w:t>，结合我市工程招标代理市场的现状，就我市工程招标代理机构的动态管理工作规定如下：</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一、我市招标代理机构实行动态考评后按综合得分进行排名，并在连云港市公共资源交易网公布，作为我市招标人比选代理机构的依据。招标人在选择招标代理机构时，应通过比选确定，不应以任何形式固定由一家或几家承担。具体</w:t>
      </w:r>
      <w:r>
        <w:rPr>
          <w:rFonts w:ascii="仿宋_GB2312" w:eastAsia="仿宋_GB2312" w:hAnsi="宋体" w:hint="eastAsia"/>
          <w:sz w:val="32"/>
          <w:szCs w:val="32"/>
        </w:rPr>
        <w:lastRenderedPageBreak/>
        <w:t>比选办法由市建设工程招标投标管理办公室另行制定，并对招标代理机构实行差别化管理。</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二、动态考评范围为在我市工商注册的招标代理公司和外地在连工商注册的分公司。我市招标代理机构在市外设立分公司的，人员和业绩不计入总公司；外地在连分公司，其母公司的人员和业绩不记入分公司。</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三、根据《中华人民共和国招标投标法》第十三条规定：招标代理机构应当有从事招标代理业务的场所和相应资金，能够编制招标文件和组织评标的相应专业力量。鉴于招标代理机构编制工程量清单、确定招标控制价、组织清标等工作是招投标活动中的重要环节，注册造价工程师的作用十分重要。凡在我市工商注册的工程招标代理机构和外地在连工商注册的分公司，在</w:t>
      </w:r>
      <w:r>
        <w:rPr>
          <w:rFonts w:ascii="仿宋_GB2312" w:eastAsia="仿宋_GB2312" w:hint="eastAsia"/>
          <w:sz w:val="32"/>
          <w:szCs w:val="32"/>
        </w:rPr>
        <w:t>人员数量、专业配备必须满足工程项目招标的专业技术要求，</w:t>
      </w:r>
      <w:r>
        <w:rPr>
          <w:rFonts w:ascii="仿宋_GB2312" w:eastAsia="仿宋_GB2312" w:hAnsi="宋体" w:hint="eastAsia"/>
          <w:sz w:val="32"/>
          <w:szCs w:val="32"/>
        </w:rPr>
        <w:t>应具备不少于3名专职一级注册造价师（执业资格注册在连云港市证明和不少于6个月社保五险及工资发放清单,不含退休返聘人员）和150m</w:t>
      </w:r>
      <w:r>
        <w:rPr>
          <w:rFonts w:ascii="仿宋_GB2312" w:eastAsia="仿宋_GB2312" w:hAnsi="宋体" w:hint="eastAsia"/>
          <w:sz w:val="32"/>
          <w:szCs w:val="32"/>
          <w:vertAlign w:val="superscript"/>
        </w:rPr>
        <w:t>2</w:t>
      </w:r>
      <w:r>
        <w:rPr>
          <w:rFonts w:ascii="仿宋_GB2312" w:eastAsia="仿宋_GB2312" w:hAnsi="宋体" w:hint="eastAsia"/>
          <w:sz w:val="32"/>
          <w:szCs w:val="32"/>
        </w:rPr>
        <w:t>以上办公场所的基本条件。</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四、动态考评评分标准的补充规定</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1、从业人员：3名以上的专职注册造价师，每增加1名加1分，加分最多不超过10分；其它工程建设类执业注册资</w:t>
      </w:r>
      <w:r>
        <w:rPr>
          <w:rFonts w:ascii="仿宋_GB2312" w:eastAsia="仿宋_GB2312" w:hAnsi="宋体" w:hint="eastAsia"/>
          <w:sz w:val="32"/>
          <w:szCs w:val="32"/>
        </w:rPr>
        <w:lastRenderedPageBreak/>
        <w:t>格人员（执业资格注册在连云港市证明和不少于6个月社保五险及工资发放清单,不含退休返聘人员），每名加0.5分，加分最多不超过6 分（注册人员均不含二级）。</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2、办公场所150m</w:t>
      </w:r>
      <w:r>
        <w:rPr>
          <w:rFonts w:ascii="仿宋_GB2312" w:eastAsia="仿宋_GB2312" w:hAnsi="宋体" w:hint="eastAsia"/>
          <w:sz w:val="32"/>
          <w:szCs w:val="32"/>
          <w:vertAlign w:val="subscript"/>
        </w:rPr>
        <w:softHyphen/>
      </w:r>
      <w:r>
        <w:rPr>
          <w:rFonts w:ascii="仿宋_GB2312" w:eastAsia="仿宋_GB2312" w:hAnsi="宋体" w:hint="eastAsia"/>
          <w:sz w:val="32"/>
          <w:szCs w:val="32"/>
          <w:vertAlign w:val="superscript"/>
        </w:rPr>
        <w:t>2</w:t>
      </w:r>
      <w:r>
        <w:rPr>
          <w:rFonts w:ascii="仿宋_GB2312" w:eastAsia="仿宋_GB2312" w:hAnsi="宋体" w:hint="eastAsia"/>
          <w:sz w:val="32"/>
          <w:szCs w:val="32"/>
        </w:rPr>
        <w:t>以上的每增加50m</w:t>
      </w:r>
      <w:r>
        <w:rPr>
          <w:rFonts w:ascii="仿宋_GB2312" w:eastAsia="仿宋_GB2312" w:hAnsi="宋体" w:hint="eastAsia"/>
          <w:sz w:val="32"/>
          <w:szCs w:val="32"/>
          <w:vertAlign w:val="superscript"/>
        </w:rPr>
        <w:t>2</w:t>
      </w:r>
      <w:r>
        <w:rPr>
          <w:rFonts w:ascii="仿宋_GB2312" w:eastAsia="仿宋_GB2312" w:hAnsi="宋体" w:hint="eastAsia"/>
          <w:sz w:val="32"/>
          <w:szCs w:val="32"/>
        </w:rPr>
        <w:t>加0.2分，加分最多不超过2分。</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3、信息填报质量：连云港市公共资源交易网在公布综合得分排名的同时也将公布各公司详细资料，填报信息不准确的每项扣1分，对弄虚作假的每项扣2分，情节严重的执行附件四严重失信行为扣分分值标准。</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4、代理业绩：上年度代理项目每标段加0.2分；中标额1亿及以上标段另加0.5分，加分最多不超过5分。</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5、行业公约执行情况：行业公约由招投标协会制定。全年无违反公约行为的加2分，违反行业自律公约的有一次扣2分，</w:t>
      </w:r>
      <w:r>
        <w:rPr>
          <w:rFonts w:ascii="仿宋_GB2312" w:eastAsia="仿宋_GB2312" w:hAnsi="宋体" w:cs="宋体" w:hint="eastAsia"/>
          <w:sz w:val="32"/>
          <w:szCs w:val="32"/>
        </w:rPr>
        <w:t>属于失信等不良行为的执行附件5扣分分值标准。</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6、社会信誉测评情况：测评结果总体评价良好的加2分；较差的扣2分；差扣5分，具体工作由市招投标管理办公室负责。</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7、从业人员因失信行为被行政处罚的，按照失信行为扣分标准执行，从业人员扣分随人员流动。</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五、根据连建发[2018]95号《关于加强建设工程招标投</w:t>
      </w:r>
      <w:r>
        <w:rPr>
          <w:rFonts w:ascii="仿宋_GB2312" w:eastAsia="仿宋_GB2312" w:hAnsi="宋体" w:hint="eastAsia"/>
          <w:sz w:val="32"/>
          <w:szCs w:val="32"/>
        </w:rPr>
        <w:lastRenderedPageBreak/>
        <w:t>标管理工作的意见》精神，鼓励本地监理公司、造价、招标代理及工程咨询公司合并重组；鼓励有一定技术力量和固定办公地点的借用外地</w:t>
      </w:r>
      <w:r w:rsidRPr="00C05836">
        <w:rPr>
          <w:rFonts w:ascii="仿宋_GB2312" w:eastAsia="仿宋_GB2312" w:hAnsi="宋体" w:hint="eastAsia"/>
          <w:sz w:val="32"/>
          <w:szCs w:val="32"/>
        </w:rPr>
        <w:t>牌子（资格）挂靠</w:t>
      </w:r>
      <w:r>
        <w:rPr>
          <w:rFonts w:ascii="仿宋_GB2312" w:eastAsia="仿宋_GB2312" w:hAnsi="宋体" w:hint="eastAsia"/>
          <w:sz w:val="32"/>
          <w:szCs w:val="32"/>
        </w:rPr>
        <w:t>在本地成立的分公司重新在我市注册新公司，原分公司的人员业绩等，新成立公司可以延用；合并成立新公司的原所有参与整合的公司业绩和人员等也可延用，但人员注册变更应在2019年11月30日前完成。最终消除借牌挂靠等现象。</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六、规范我市工程招标代理机构的步骤：</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1、对符合本通知第三条基本条件的代理机构进行动态考评后，先行在市公共资源交易网上公布，以适应工程建设的需要。</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2、对于借牌在连成立的分公司，应根据分公司的具体情况区别对待：</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（1）对基本具备条件的，待完善后及时公布。</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（2）与规定条件差距较大，难以完善的，应允许其按合伙制或股份制等方式进行联合、重组注册成立新公司，整合后符合条件应及时公布。</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（3）对于不具备基本技术力量和固定办公场所的，不得从事建设工程招标代理业务。</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3、鉴于在我市从事招标业务的代理机构已达百余家，大</w:t>
      </w:r>
      <w:r>
        <w:rPr>
          <w:rFonts w:ascii="仿宋_GB2312" w:eastAsia="仿宋_GB2312" w:hAnsi="宋体" w:hint="eastAsia"/>
          <w:sz w:val="32"/>
          <w:szCs w:val="32"/>
        </w:rPr>
        <w:lastRenderedPageBreak/>
        <w:t>多属于借牌挂靠现象，原则上不再接纳外地公司要求在连设立分公司；为防止以承接单项业务为由出现新的借牌挂靠和利用权力寻租承揽招标代理业务，原则上不接受单项业务承接申请。本地公司和分公司不得在本市县区再设立分公司。</w:t>
      </w:r>
    </w:p>
    <w:p w:rsidR="00C40BEF" w:rsidRPr="00C05836" w:rsidRDefault="003570E3">
      <w:pPr>
        <w:widowControl w:val="0"/>
        <w:snapToGrid/>
        <w:spacing w:after="0"/>
        <w:ind w:firstLineChars="200" w:firstLine="640"/>
        <w:jc w:val="both"/>
        <w:rPr>
          <w:rFonts w:ascii="仿宋_GB2312" w:eastAsia="仿宋_GB2312" w:hAnsi="宋体"/>
          <w:sz w:val="32"/>
          <w:szCs w:val="32"/>
        </w:rPr>
      </w:pPr>
      <w:r w:rsidRPr="00C05836">
        <w:rPr>
          <w:rFonts w:ascii="仿宋_GB2312" w:eastAsia="仿宋_GB2312" w:hAnsi="宋体" w:hint="eastAsia"/>
          <w:sz w:val="32"/>
          <w:szCs w:val="32"/>
        </w:rPr>
        <w:t>七、动态考评排名分组后，未在市公共资源交易网动态考评栏目上公布的招标代理公司，由系统维护单位在接到监管部门通知后，对相应招标代理公司的状态做出调整。</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八、各部门和单位原设立的工程招标代理机构候选库应予撤消。</w:t>
      </w:r>
    </w:p>
    <w:p w:rsidR="00C40BEF" w:rsidRDefault="003570E3">
      <w:pPr>
        <w:widowControl w:val="0"/>
        <w:snapToGrid/>
        <w:spacing w:after="0"/>
        <w:ind w:firstLineChars="200" w:firstLine="640"/>
        <w:jc w:val="both"/>
        <w:rPr>
          <w:rFonts w:ascii="仿宋_GB2312" w:eastAsia="仿宋_GB2312" w:hAnsi="宋体"/>
          <w:sz w:val="32"/>
          <w:szCs w:val="32"/>
        </w:rPr>
      </w:pPr>
      <w:r>
        <w:rPr>
          <w:rFonts w:ascii="仿宋_GB2312" w:eastAsia="仿宋_GB2312" w:hAnsi="宋体" w:hint="eastAsia"/>
          <w:sz w:val="32"/>
          <w:szCs w:val="32"/>
        </w:rPr>
        <w:t>九、本通知自2019年 月 日起试行。</w:t>
      </w:r>
    </w:p>
    <w:p w:rsidR="00C40BEF" w:rsidRDefault="00C40BEF">
      <w:pPr>
        <w:widowControl w:val="0"/>
        <w:snapToGrid/>
        <w:spacing w:after="0"/>
        <w:ind w:firstLineChars="200" w:firstLine="640"/>
        <w:jc w:val="both"/>
        <w:rPr>
          <w:rFonts w:ascii="仿宋_GB2312" w:eastAsia="仿宋_GB2312" w:hAnsi="宋体"/>
          <w:sz w:val="32"/>
          <w:szCs w:val="32"/>
        </w:rPr>
      </w:pPr>
    </w:p>
    <w:p w:rsidR="00C40BEF" w:rsidRDefault="00C40BEF">
      <w:pPr>
        <w:widowControl w:val="0"/>
        <w:snapToGrid/>
        <w:spacing w:after="0"/>
        <w:ind w:firstLineChars="200" w:firstLine="640"/>
        <w:jc w:val="both"/>
        <w:rPr>
          <w:rFonts w:ascii="仿宋_GB2312" w:eastAsia="仿宋_GB2312" w:hAnsi="宋体"/>
          <w:sz w:val="32"/>
          <w:szCs w:val="32"/>
        </w:rPr>
      </w:pPr>
    </w:p>
    <w:p w:rsidR="00C40BEF" w:rsidRDefault="003570E3">
      <w:pPr>
        <w:widowControl w:val="0"/>
        <w:snapToGrid/>
        <w:spacing w:after="0"/>
        <w:ind w:firstLine="630"/>
        <w:rPr>
          <w:rFonts w:ascii="仿宋_GB2312" w:eastAsia="仿宋_GB2312" w:hAnsi="宋体"/>
          <w:sz w:val="32"/>
          <w:szCs w:val="32"/>
        </w:rPr>
      </w:pPr>
      <w:r>
        <w:rPr>
          <w:rFonts w:ascii="仿宋_GB2312" w:eastAsia="仿宋_GB2312" w:hAnsi="宋体" w:hint="eastAsia"/>
          <w:sz w:val="32"/>
          <w:szCs w:val="32"/>
        </w:rPr>
        <w:t>附件：1.动态考评评分办法和使用说明</w:t>
      </w:r>
    </w:p>
    <w:p w:rsidR="00C40BEF" w:rsidRDefault="003570E3">
      <w:pPr>
        <w:widowControl w:val="0"/>
        <w:snapToGrid/>
        <w:spacing w:after="0"/>
        <w:ind w:firstLine="1582"/>
        <w:rPr>
          <w:rFonts w:ascii="仿宋_GB2312" w:eastAsia="仿宋_GB2312" w:hAnsi="宋体"/>
          <w:sz w:val="32"/>
          <w:szCs w:val="32"/>
        </w:rPr>
      </w:pPr>
      <w:r>
        <w:rPr>
          <w:rFonts w:ascii="仿宋_GB2312" w:eastAsia="仿宋_GB2312" w:hAnsi="宋体" w:hint="eastAsia"/>
          <w:sz w:val="32"/>
          <w:szCs w:val="32"/>
        </w:rPr>
        <w:t>2.连云港市工程招标代理机构动态考核分值表</w:t>
      </w:r>
    </w:p>
    <w:p w:rsidR="00C40BEF" w:rsidRDefault="003570E3">
      <w:pPr>
        <w:widowControl w:val="0"/>
        <w:snapToGrid/>
        <w:spacing w:after="0"/>
        <w:ind w:firstLine="1582"/>
        <w:rPr>
          <w:rFonts w:ascii="仿宋_GB2312" w:eastAsia="仿宋_GB2312" w:hAnsi="宋体"/>
          <w:sz w:val="32"/>
          <w:szCs w:val="32"/>
        </w:rPr>
      </w:pPr>
      <w:r>
        <w:rPr>
          <w:rFonts w:ascii="仿宋_GB2312" w:eastAsia="仿宋_GB2312" w:hAnsi="宋体" w:hint="eastAsia"/>
          <w:sz w:val="32"/>
          <w:szCs w:val="32"/>
        </w:rPr>
        <w:t>3.日常业务缺陷扣分标准</w:t>
      </w:r>
    </w:p>
    <w:p w:rsidR="00C40BEF" w:rsidRDefault="003570E3">
      <w:pPr>
        <w:widowControl w:val="0"/>
        <w:snapToGrid/>
        <w:spacing w:after="0"/>
        <w:ind w:firstLine="1582"/>
        <w:rPr>
          <w:rFonts w:ascii="仿宋_GB2312" w:eastAsia="仿宋_GB2312" w:hAnsi="宋体"/>
          <w:sz w:val="32"/>
          <w:szCs w:val="32"/>
        </w:rPr>
      </w:pPr>
      <w:r>
        <w:rPr>
          <w:rFonts w:ascii="仿宋_GB2312" w:eastAsia="仿宋_GB2312" w:hAnsi="宋体" w:hint="eastAsia"/>
          <w:sz w:val="32"/>
          <w:szCs w:val="32"/>
        </w:rPr>
        <w:t>4.日常失信行为扣分标准</w:t>
      </w:r>
    </w:p>
    <w:p w:rsidR="00C40BEF" w:rsidRDefault="003570E3">
      <w:pPr>
        <w:widowControl w:val="0"/>
        <w:snapToGrid/>
        <w:spacing w:after="0"/>
        <w:ind w:firstLine="1582"/>
        <w:rPr>
          <w:rFonts w:ascii="仿宋_GB2312" w:eastAsia="仿宋_GB2312" w:hAnsi="宋体"/>
          <w:sz w:val="32"/>
          <w:szCs w:val="32"/>
        </w:rPr>
      </w:pPr>
      <w:r>
        <w:rPr>
          <w:rFonts w:ascii="仿宋_GB2312" w:eastAsia="仿宋_GB2312" w:hAnsi="宋体" w:hint="eastAsia"/>
          <w:sz w:val="32"/>
          <w:szCs w:val="32"/>
        </w:rPr>
        <w:t>5.行业公约执行情况扣分标准</w:t>
      </w:r>
    </w:p>
    <w:p w:rsidR="00C40BEF" w:rsidRDefault="00C40BEF">
      <w:pPr>
        <w:widowControl w:val="0"/>
        <w:snapToGrid/>
        <w:spacing w:after="0"/>
        <w:jc w:val="both"/>
        <w:rPr>
          <w:rFonts w:ascii="仿宋_GB2312" w:eastAsia="仿宋_GB2312" w:hAnsi="宋体"/>
          <w:sz w:val="32"/>
          <w:szCs w:val="32"/>
        </w:rPr>
      </w:pPr>
    </w:p>
    <w:p w:rsidR="00C40BEF" w:rsidRDefault="003570E3">
      <w:pPr>
        <w:widowControl w:val="0"/>
        <w:snapToGrid/>
        <w:spacing w:after="0"/>
        <w:jc w:val="both"/>
        <w:rPr>
          <w:rFonts w:ascii="仿宋_GB2312" w:eastAsia="仿宋_GB2312" w:hAnsi="宋体"/>
          <w:sz w:val="32"/>
          <w:szCs w:val="32"/>
        </w:rPr>
      </w:pPr>
      <w:r>
        <w:rPr>
          <w:rFonts w:ascii="仿宋_GB2312" w:eastAsia="仿宋_GB2312" w:hAnsi="宋体" w:hint="eastAsia"/>
          <w:sz w:val="32"/>
          <w:szCs w:val="32"/>
        </w:rPr>
        <w:t xml:space="preserve">                           2018年11月27日 </w:t>
      </w:r>
    </w:p>
    <w:p w:rsidR="00173AC6" w:rsidRDefault="00173AC6">
      <w:pPr>
        <w:widowControl w:val="0"/>
        <w:snapToGrid/>
        <w:spacing w:after="0"/>
        <w:jc w:val="both"/>
        <w:rPr>
          <w:rFonts w:ascii="黑体" w:eastAsia="黑体" w:hAnsi="黑体"/>
          <w:sz w:val="32"/>
          <w:szCs w:val="32"/>
        </w:rPr>
      </w:pPr>
    </w:p>
    <w:p w:rsidR="00173AC6" w:rsidRDefault="00173AC6">
      <w:pPr>
        <w:widowControl w:val="0"/>
        <w:snapToGrid/>
        <w:spacing w:after="0"/>
        <w:jc w:val="both"/>
        <w:rPr>
          <w:rFonts w:ascii="黑体" w:eastAsia="黑体" w:hAnsi="黑体"/>
          <w:sz w:val="32"/>
          <w:szCs w:val="32"/>
        </w:rPr>
      </w:pPr>
    </w:p>
    <w:p w:rsidR="00C40BEF" w:rsidRDefault="003570E3">
      <w:pPr>
        <w:widowControl w:val="0"/>
        <w:snapToGrid/>
        <w:spacing w:after="0"/>
        <w:jc w:val="both"/>
        <w:rPr>
          <w:rFonts w:ascii="黑体" w:eastAsia="黑体" w:hAnsi="黑体"/>
          <w:sz w:val="32"/>
          <w:szCs w:val="32"/>
        </w:rPr>
      </w:pPr>
      <w:r>
        <w:rPr>
          <w:rFonts w:ascii="黑体" w:eastAsia="黑体" w:hAnsi="黑体" w:hint="eastAsia"/>
          <w:sz w:val="32"/>
          <w:szCs w:val="32"/>
        </w:rPr>
        <w:t>附件1</w:t>
      </w:r>
    </w:p>
    <w:p w:rsidR="00C40BEF" w:rsidRDefault="003570E3">
      <w:pPr>
        <w:widowControl w:val="0"/>
        <w:snapToGrid/>
        <w:spacing w:after="0"/>
        <w:jc w:val="center"/>
        <w:rPr>
          <w:rFonts w:ascii="方正小标宋简体" w:eastAsia="方正小标宋简体" w:hAnsi="宋体"/>
          <w:sz w:val="44"/>
          <w:szCs w:val="44"/>
        </w:rPr>
      </w:pPr>
      <w:r>
        <w:rPr>
          <w:rFonts w:ascii="方正小标宋简体" w:eastAsia="方正小标宋简体" w:hAnsi="宋体" w:hint="eastAsia"/>
          <w:sz w:val="44"/>
          <w:szCs w:val="44"/>
        </w:rPr>
        <w:t>动态考评评分办法和使用说明</w:t>
      </w:r>
    </w:p>
    <w:p w:rsidR="00C40BEF" w:rsidRDefault="00C40BEF">
      <w:pPr>
        <w:widowControl w:val="0"/>
        <w:snapToGrid/>
        <w:spacing w:after="0"/>
        <w:ind w:firstLineChars="200" w:firstLine="640"/>
        <w:rPr>
          <w:rFonts w:ascii="宋体" w:eastAsia="宋体" w:hAnsi="宋体"/>
          <w:sz w:val="32"/>
          <w:szCs w:val="32"/>
        </w:rPr>
      </w:pPr>
    </w:p>
    <w:p w:rsidR="00C40BEF" w:rsidRDefault="003570E3">
      <w:pPr>
        <w:widowControl w:val="0"/>
        <w:snapToGrid/>
        <w:spacing w:after="0"/>
        <w:ind w:firstLineChars="200" w:firstLine="640"/>
        <w:rPr>
          <w:rFonts w:ascii="仿宋_GB2312" w:eastAsia="仿宋_GB2312" w:hAnsi="宋体"/>
          <w:sz w:val="32"/>
          <w:szCs w:val="32"/>
        </w:rPr>
      </w:pPr>
      <w:r>
        <w:rPr>
          <w:rFonts w:ascii="黑体" w:eastAsia="黑体" w:hAnsi="黑体" w:cs="Arial" w:hint="eastAsia"/>
          <w:sz w:val="32"/>
          <w:szCs w:val="32"/>
        </w:rPr>
        <w:t>一、考核对象：</w:t>
      </w:r>
      <w:r>
        <w:rPr>
          <w:rFonts w:ascii="仿宋_GB2312" w:eastAsia="仿宋_GB2312" w:hAnsi="宋体" w:hint="eastAsia"/>
          <w:sz w:val="32"/>
          <w:szCs w:val="32"/>
        </w:rPr>
        <w:t>根据“省动态管理办法”确定的管理范围，本市只负责在我市注册的代理公司及在连注册的分公司。</w:t>
      </w:r>
    </w:p>
    <w:p w:rsidR="00C40BEF" w:rsidRDefault="003570E3">
      <w:pPr>
        <w:widowControl w:val="0"/>
        <w:snapToGrid/>
        <w:spacing w:after="0"/>
        <w:ind w:firstLineChars="200" w:firstLine="640"/>
        <w:rPr>
          <w:rFonts w:ascii="黑体" w:eastAsia="黑体" w:hAnsi="黑体" w:cs="Arial"/>
          <w:sz w:val="32"/>
          <w:szCs w:val="32"/>
        </w:rPr>
      </w:pPr>
      <w:r>
        <w:rPr>
          <w:rFonts w:ascii="黑体" w:eastAsia="黑体" w:hAnsi="黑体" w:cs="Arial" w:hint="eastAsia"/>
          <w:sz w:val="32"/>
          <w:szCs w:val="32"/>
        </w:rPr>
        <w:t>二、首次考评暂不考虑行业公约和社会评价两项。</w:t>
      </w:r>
    </w:p>
    <w:p w:rsidR="00C40BEF" w:rsidRDefault="003570E3">
      <w:pPr>
        <w:widowControl w:val="0"/>
        <w:snapToGrid/>
        <w:spacing w:after="0"/>
        <w:ind w:firstLineChars="200" w:firstLine="640"/>
        <w:rPr>
          <w:rFonts w:ascii="黑体" w:eastAsia="黑体" w:hAnsi="黑体" w:cs="Arial"/>
          <w:sz w:val="32"/>
          <w:szCs w:val="32"/>
        </w:rPr>
      </w:pPr>
      <w:r>
        <w:rPr>
          <w:rFonts w:ascii="黑体" w:eastAsia="黑体" w:hAnsi="黑体" w:cs="Arial" w:hint="eastAsia"/>
          <w:sz w:val="32"/>
          <w:szCs w:val="32"/>
        </w:rPr>
        <w:t>三、考核内容及计分办法：</w:t>
      </w:r>
    </w:p>
    <w:p w:rsidR="00C40BEF" w:rsidRDefault="003570E3">
      <w:pPr>
        <w:widowControl w:val="0"/>
        <w:snapToGrid/>
        <w:spacing w:after="0"/>
        <w:ind w:firstLineChars="200" w:firstLine="640"/>
        <w:rPr>
          <w:rFonts w:ascii="仿宋_GB2312" w:eastAsia="仿宋_GB2312" w:hAnsi="宋体"/>
          <w:sz w:val="32"/>
          <w:szCs w:val="32"/>
        </w:rPr>
      </w:pPr>
      <w:r>
        <w:rPr>
          <w:rFonts w:ascii="仿宋_GB2312" w:eastAsia="仿宋_GB2312" w:hAnsi="宋体" w:hint="eastAsia"/>
          <w:sz w:val="32"/>
          <w:szCs w:val="32"/>
        </w:rPr>
        <w:t>不少于3名一级执业注册造价师、150</w:t>
      </w:r>
      <w:r>
        <w:rPr>
          <w:rFonts w:ascii="仿宋_GB2312" w:eastAsia="宋体" w:hAnsi="宋体" w:cs="Arial" w:hint="eastAsia"/>
          <w:sz w:val="32"/>
          <w:szCs w:val="32"/>
        </w:rPr>
        <w:t>㎡</w:t>
      </w:r>
      <w:r>
        <w:rPr>
          <w:rFonts w:ascii="仿宋_GB2312" w:eastAsia="仿宋_GB2312" w:hAnsi="宋体" w:cs="Arial" w:hint="eastAsia"/>
          <w:sz w:val="32"/>
          <w:szCs w:val="32"/>
        </w:rPr>
        <w:t>办公用房和在本市工商注册登记为基本条件，</w:t>
      </w:r>
      <w:r>
        <w:rPr>
          <w:rFonts w:ascii="仿宋_GB2312" w:eastAsia="仿宋_GB2312" w:hAnsi="宋体" w:hint="eastAsia"/>
          <w:sz w:val="32"/>
          <w:szCs w:val="32"/>
        </w:rPr>
        <w:t>基本分90分。</w:t>
      </w:r>
    </w:p>
    <w:p w:rsidR="00C40BEF" w:rsidRDefault="003570E3">
      <w:pPr>
        <w:widowControl w:val="0"/>
        <w:snapToGrid/>
        <w:spacing w:after="0"/>
        <w:ind w:firstLineChars="200" w:firstLine="640"/>
        <w:rPr>
          <w:rFonts w:ascii="仿宋_GB2312" w:eastAsia="仿宋_GB2312" w:hAnsi="宋体"/>
          <w:sz w:val="32"/>
          <w:szCs w:val="32"/>
        </w:rPr>
      </w:pPr>
      <w:r>
        <w:rPr>
          <w:rFonts w:ascii="仿宋_GB2312" w:eastAsia="仿宋_GB2312" w:hAnsi="宋体" w:hint="eastAsia"/>
          <w:sz w:val="32"/>
          <w:szCs w:val="32"/>
        </w:rPr>
        <w:t>动态考评主要有九个方面：</w:t>
      </w:r>
    </w:p>
    <w:p w:rsidR="00C40BEF" w:rsidRDefault="003570E3" w:rsidP="00B735B4">
      <w:pPr>
        <w:widowControl w:val="0"/>
        <w:snapToGrid/>
        <w:spacing w:after="0"/>
        <w:ind w:firstLineChars="200" w:firstLine="643"/>
        <w:rPr>
          <w:rFonts w:ascii="仿宋_GB2312" w:eastAsia="仿宋_GB2312" w:hAnsi="宋体" w:cs="Arial"/>
          <w:sz w:val="32"/>
          <w:szCs w:val="32"/>
        </w:rPr>
      </w:pPr>
      <w:r>
        <w:rPr>
          <w:rFonts w:ascii="仿宋_GB2312" w:eastAsia="仿宋_GB2312" w:hAnsi="宋体" w:hint="eastAsia"/>
          <w:b/>
          <w:sz w:val="32"/>
          <w:szCs w:val="32"/>
        </w:rPr>
        <w:t>1、工作场所：</w:t>
      </w:r>
      <w:r>
        <w:rPr>
          <w:rFonts w:ascii="仿宋_GB2312" w:eastAsia="仿宋_GB2312" w:hAnsi="宋体" w:hint="eastAsia"/>
          <w:sz w:val="32"/>
          <w:szCs w:val="32"/>
        </w:rPr>
        <w:t>满足150</w:t>
      </w:r>
      <w:r>
        <w:rPr>
          <w:rFonts w:ascii="仿宋_GB2312" w:eastAsia="宋体" w:hAnsi="宋体" w:cs="Arial" w:hint="eastAsia"/>
          <w:sz w:val="32"/>
          <w:szCs w:val="32"/>
        </w:rPr>
        <w:t>㎡</w:t>
      </w:r>
      <w:r>
        <w:rPr>
          <w:rFonts w:ascii="仿宋_GB2312" w:eastAsia="仿宋_GB2312" w:hAnsi="宋体" w:cs="Arial" w:hint="eastAsia"/>
          <w:sz w:val="32"/>
          <w:szCs w:val="32"/>
        </w:rPr>
        <w:t>后</w:t>
      </w:r>
      <w:r>
        <w:rPr>
          <w:rFonts w:ascii="仿宋_GB2312" w:eastAsia="仿宋_GB2312" w:hAnsi="宋体" w:hint="eastAsia"/>
          <w:sz w:val="32"/>
          <w:szCs w:val="32"/>
        </w:rPr>
        <w:t>每增加50</w:t>
      </w:r>
      <w:r>
        <w:rPr>
          <w:rFonts w:ascii="仿宋_GB2312" w:eastAsia="宋体" w:hAnsi="宋体" w:cs="Arial" w:hint="eastAsia"/>
          <w:sz w:val="32"/>
          <w:szCs w:val="32"/>
        </w:rPr>
        <w:t>㎡</w:t>
      </w:r>
      <w:r>
        <w:rPr>
          <w:rFonts w:ascii="仿宋_GB2312" w:eastAsia="宋体" w:hAnsi="宋体" w:cs="Arial" w:hint="eastAsia"/>
          <w:sz w:val="32"/>
          <w:szCs w:val="32"/>
        </w:rPr>
        <w:t>+0.2</w:t>
      </w:r>
      <w:r>
        <w:rPr>
          <w:rFonts w:ascii="仿宋_GB2312" w:eastAsia="宋体" w:hAnsi="宋体" w:cs="Arial" w:hint="eastAsia"/>
          <w:sz w:val="32"/>
          <w:szCs w:val="32"/>
        </w:rPr>
        <w:t>分</w:t>
      </w:r>
      <w:r>
        <w:rPr>
          <w:rFonts w:ascii="仿宋_GB2312" w:eastAsia="仿宋_GB2312" w:hAnsi="宋体" w:cs="Arial" w:hint="eastAsia"/>
          <w:sz w:val="32"/>
          <w:szCs w:val="32"/>
        </w:rPr>
        <w:t>，加分最多不超过2分。</w:t>
      </w:r>
    </w:p>
    <w:p w:rsidR="00C40BEF" w:rsidRDefault="003570E3" w:rsidP="00B735B4">
      <w:pPr>
        <w:widowControl w:val="0"/>
        <w:snapToGrid/>
        <w:spacing w:after="0"/>
        <w:ind w:firstLineChars="200" w:firstLine="643"/>
        <w:jc w:val="both"/>
        <w:rPr>
          <w:rFonts w:ascii="仿宋_GB2312" w:eastAsia="仿宋_GB2312" w:hAnsi="宋体"/>
          <w:sz w:val="32"/>
          <w:szCs w:val="32"/>
        </w:rPr>
      </w:pPr>
      <w:r>
        <w:rPr>
          <w:rFonts w:ascii="仿宋_GB2312" w:eastAsia="仿宋_GB2312" w:hAnsi="宋体" w:cs="Arial" w:hint="eastAsia"/>
          <w:b/>
          <w:sz w:val="32"/>
          <w:szCs w:val="32"/>
        </w:rPr>
        <w:t xml:space="preserve">    2、从业人员：</w:t>
      </w:r>
      <w:r>
        <w:rPr>
          <w:rFonts w:ascii="仿宋_GB2312" w:eastAsia="仿宋_GB2312" w:hAnsi="宋体" w:cs="Arial" w:hint="eastAsia"/>
          <w:sz w:val="32"/>
          <w:szCs w:val="32"/>
        </w:rPr>
        <w:t>满足3名一级执业注册造价师后，每增加一名一级注册造价师+1分，加分最多不超过+10分；</w:t>
      </w:r>
      <w:r>
        <w:rPr>
          <w:rFonts w:ascii="仿宋_GB2312" w:eastAsia="仿宋_GB2312" w:hAnsi="宋体" w:hint="eastAsia"/>
          <w:sz w:val="32"/>
          <w:szCs w:val="32"/>
        </w:rPr>
        <w:t>其它工程建设类执业注册资格人员，每名+0.5分，加分最多不超过+6 分。</w:t>
      </w:r>
      <w:r>
        <w:rPr>
          <w:rFonts w:ascii="仿宋_GB2312" w:eastAsia="仿宋_GB2312" w:hAnsi="宋体" w:cs="Arial" w:hint="eastAsia"/>
          <w:sz w:val="32"/>
          <w:szCs w:val="32"/>
        </w:rPr>
        <w:t>（</w:t>
      </w:r>
      <w:r>
        <w:rPr>
          <w:rFonts w:ascii="仿宋_GB2312" w:eastAsia="仿宋_GB2312" w:hAnsi="宋体" w:hint="eastAsia"/>
          <w:sz w:val="32"/>
          <w:szCs w:val="32"/>
        </w:rPr>
        <w:t>注册人员均不含二级；不重复计分。</w:t>
      </w:r>
      <w:r>
        <w:rPr>
          <w:rFonts w:ascii="仿宋_GB2312" w:eastAsia="仿宋_GB2312" w:hAnsi="宋体" w:cs="Arial" w:hint="eastAsia"/>
          <w:sz w:val="32"/>
          <w:szCs w:val="32"/>
        </w:rPr>
        <w:t>）</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3、代理业绩：</w:t>
      </w:r>
      <w:r>
        <w:rPr>
          <w:rFonts w:ascii="仿宋_GB2312" w:eastAsia="仿宋_GB2312" w:hAnsi="宋体" w:cs="Arial" w:hint="eastAsia"/>
          <w:sz w:val="32"/>
          <w:szCs w:val="32"/>
        </w:rPr>
        <w:t>上年度每一个标段+0.2分/标段；1亿元及以上中标额标段另+0.5分/标段，最多+5分。</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4、表彰奖励：</w:t>
      </w:r>
      <w:r>
        <w:rPr>
          <w:rFonts w:ascii="仿宋_GB2312" w:eastAsia="仿宋_GB2312" w:hAnsi="宋体" w:cs="Arial" w:hint="eastAsia"/>
          <w:sz w:val="32"/>
          <w:szCs w:val="32"/>
        </w:rPr>
        <w:t>成立党、工会组织、受到县以上表彰奖励、</w:t>
      </w:r>
      <w:r>
        <w:rPr>
          <w:rFonts w:ascii="仿宋_GB2312" w:eastAsia="仿宋_GB2312" w:hAnsi="宋体" w:cs="Arial" w:hint="eastAsia"/>
          <w:sz w:val="32"/>
          <w:szCs w:val="32"/>
        </w:rPr>
        <w:lastRenderedPageBreak/>
        <w:t>参与政策制定、课题研究等有一项+0.1分，最多+2分；</w:t>
      </w:r>
      <w:r>
        <w:rPr>
          <w:rFonts w:ascii="仿宋_GB2312" w:eastAsia="仿宋_GB2312" w:hAnsi="宋体" w:hint="eastAsia"/>
          <w:sz w:val="32"/>
          <w:szCs w:val="32"/>
        </w:rPr>
        <w:t>全年无违反公约行为的+2分；</w:t>
      </w:r>
      <w:r>
        <w:rPr>
          <w:rFonts w:ascii="仿宋_GB2312" w:eastAsia="仿宋_GB2312" w:hAnsi="宋体" w:cs="Arial" w:hint="eastAsia"/>
          <w:sz w:val="32"/>
          <w:szCs w:val="32"/>
        </w:rPr>
        <w:t>签订行业自律公约的+2分；</w:t>
      </w:r>
      <w:r>
        <w:rPr>
          <w:rFonts w:ascii="仿宋_GB2312" w:eastAsia="仿宋_GB2312" w:hAnsi="宋体" w:hint="eastAsia"/>
          <w:sz w:val="32"/>
          <w:szCs w:val="32"/>
        </w:rPr>
        <w:t>社会信誉良好+2分。</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5、参加活动：</w:t>
      </w:r>
      <w:r>
        <w:rPr>
          <w:rFonts w:ascii="仿宋_GB2312" w:eastAsia="仿宋_GB2312" w:hAnsi="宋体" w:cs="Arial" w:hint="eastAsia"/>
          <w:sz w:val="32"/>
          <w:szCs w:val="32"/>
        </w:rPr>
        <w:t>由管理部门采集在系统中填报，未按照要求响应管理部门组织的学习、交流、会议或其他活动情况-0.5分/次。</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6、日常行为：</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w:t>
      </w:r>
      <w:r>
        <w:rPr>
          <w:rFonts w:ascii="仿宋_GB2312" w:eastAsia="仿宋_GB2312" w:hAnsi="宋体" w:cs="Arial" w:hint="eastAsia"/>
          <w:sz w:val="32"/>
          <w:szCs w:val="32"/>
        </w:rPr>
        <w:t>⑴业务缺陷：从监督平台中获取汇总；日常代理工作中的失误-0.1～-0.5分/次；</w:t>
      </w:r>
      <w:r>
        <w:rPr>
          <w:rFonts w:ascii="仿宋_GB2312" w:eastAsia="仿宋_GB2312" w:hAnsi="宋体" w:cs="Arial" w:hint="eastAsia"/>
          <w:b/>
          <w:sz w:val="32"/>
          <w:szCs w:val="32"/>
        </w:rPr>
        <w:t>公司累计扣达8分的</w:t>
      </w:r>
      <w:r>
        <w:rPr>
          <w:rFonts w:ascii="仿宋_GB2312" w:eastAsia="仿宋_GB2312" w:hAnsi="宋体" w:cs="Arial" w:hint="eastAsia"/>
          <w:sz w:val="32"/>
          <w:szCs w:val="32"/>
        </w:rPr>
        <w:t>约谈法人和技术负责人，公示2个月，期间暂停承接代理业务；</w:t>
      </w:r>
      <w:r>
        <w:rPr>
          <w:rFonts w:ascii="仿宋_GB2312" w:eastAsia="仿宋_GB2312" w:hAnsi="宋体" w:cs="Arial" w:hint="eastAsia"/>
          <w:b/>
          <w:sz w:val="32"/>
          <w:szCs w:val="32"/>
        </w:rPr>
        <w:t>从业人员扣达3分的</w:t>
      </w:r>
      <w:r>
        <w:rPr>
          <w:rFonts w:ascii="仿宋_GB2312" w:eastAsia="仿宋_GB2312" w:hAnsi="宋体" w:cs="Arial" w:hint="eastAsia"/>
          <w:sz w:val="32"/>
          <w:szCs w:val="32"/>
        </w:rPr>
        <w:t>公示2个月，期间暂停承接代理业务。</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w:t>
      </w:r>
      <w:r>
        <w:rPr>
          <w:rFonts w:ascii="仿宋_GB2312" w:eastAsia="仿宋_GB2312" w:hAnsi="宋体" w:cs="Arial" w:hint="eastAsia"/>
          <w:sz w:val="32"/>
          <w:szCs w:val="32"/>
        </w:rPr>
        <w:t xml:space="preserve"> ⑵失信行为：在日常工作中采集，在代理系统中填报汇总；一般不良行为-2分/次；较重不良行为-10分/次的，公示1个月，期间暂停承接代理业务；严重不良行为</w:t>
      </w:r>
      <w:r>
        <w:rPr>
          <w:rFonts w:ascii="仿宋_GB2312" w:eastAsia="仿宋_GB2312" w:hAnsiTheme="minorEastAsia" w:cs="Arial" w:hint="eastAsia"/>
          <w:sz w:val="32"/>
          <w:szCs w:val="32"/>
        </w:rPr>
        <w:t>-</w:t>
      </w:r>
      <w:r>
        <w:rPr>
          <w:rFonts w:ascii="仿宋_GB2312" w:eastAsia="仿宋_GB2312" w:hAnsi="宋体" w:cs="Arial" w:hint="eastAsia"/>
          <w:sz w:val="32"/>
          <w:szCs w:val="32"/>
        </w:rPr>
        <w:t>20分/次，公示3个月，期间暂停承接代理业务。</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sz w:val="32"/>
          <w:szCs w:val="32"/>
        </w:rPr>
        <w:t xml:space="preserve">    ⑶行业公约执行情况：违反公约相应条款的按附件5执行。</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sz w:val="32"/>
          <w:szCs w:val="32"/>
        </w:rPr>
        <w:t xml:space="preserve">    ⑷社会信誉情况：评价反馈情况较差-2分，差-5分。</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b/>
          <w:sz w:val="32"/>
          <w:szCs w:val="32"/>
        </w:rPr>
        <w:t xml:space="preserve">    7、业务知识考核：</w:t>
      </w:r>
      <w:r>
        <w:rPr>
          <w:rFonts w:ascii="仿宋_GB2312" w:eastAsia="仿宋_GB2312" w:hAnsi="宋体" w:cs="Arial" w:hint="eastAsia"/>
          <w:sz w:val="32"/>
          <w:szCs w:val="32"/>
        </w:rPr>
        <w:t>从管理系统考试模块中获取。</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sz w:val="32"/>
          <w:szCs w:val="32"/>
        </w:rPr>
        <w:t xml:space="preserve">    ⑴从业前业务知识考核：新进系统的代理机构或分公司</w:t>
      </w:r>
      <w:r>
        <w:rPr>
          <w:rFonts w:ascii="仿宋_GB2312" w:eastAsia="仿宋_GB2312" w:hAnsi="宋体" w:cs="Arial" w:hint="eastAsia"/>
          <w:sz w:val="32"/>
          <w:szCs w:val="32"/>
        </w:rPr>
        <w:lastRenderedPageBreak/>
        <w:t>专职人员，应在30日内申请从业前考核，未参加考核得0分；</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sz w:val="32"/>
          <w:szCs w:val="32"/>
        </w:rPr>
        <w:t xml:space="preserve">    ⑵年度业务知识考核：考核时间于每年第四季度开始，当年底代理过项目的所有人员，均需参加考核；不足5人的应补充到不少于5人参加考核，缺考或未通过的-1分/人。</w:t>
      </w:r>
    </w:p>
    <w:p w:rsidR="00C40BEF" w:rsidRDefault="003570E3">
      <w:pPr>
        <w:widowControl w:val="0"/>
        <w:snapToGrid/>
        <w:spacing w:after="0"/>
        <w:rPr>
          <w:rFonts w:ascii="仿宋_GB2312" w:eastAsia="仿宋_GB2312" w:hAnsi="宋体" w:cs="Arial"/>
          <w:sz w:val="32"/>
          <w:szCs w:val="32"/>
        </w:rPr>
      </w:pPr>
      <w:r>
        <w:rPr>
          <w:rFonts w:ascii="仿宋_GB2312" w:eastAsia="仿宋_GB2312" w:hAnsi="宋体" w:cs="Arial" w:hint="eastAsia"/>
          <w:sz w:val="32"/>
          <w:szCs w:val="32"/>
        </w:rPr>
        <w:t xml:space="preserve">    </w:t>
      </w:r>
      <w:r>
        <w:rPr>
          <w:rFonts w:ascii="仿宋_GB2312" w:eastAsia="仿宋_GB2312" w:hAnsi="宋体" w:cs="Arial" w:hint="eastAsia"/>
          <w:b/>
          <w:sz w:val="32"/>
          <w:szCs w:val="32"/>
        </w:rPr>
        <w:t>8、信息填报质量：</w:t>
      </w:r>
      <w:r>
        <w:rPr>
          <w:rFonts w:ascii="仿宋_GB2312" w:eastAsia="仿宋_GB2312" w:hAnsi="宋体" w:cs="Arial" w:hint="eastAsia"/>
          <w:sz w:val="32"/>
          <w:szCs w:val="32"/>
        </w:rPr>
        <w:t>在系统中抽取代理机构（含分公司）不少于总数30%的单位</w:t>
      </w:r>
      <w:r>
        <w:rPr>
          <w:rFonts w:ascii="仿宋_GB2312" w:eastAsia="仿宋_GB2312" w:hAnsi="宋体" w:cs="Arial" w:hint="eastAsia"/>
          <w:b/>
          <w:sz w:val="32"/>
          <w:szCs w:val="32"/>
        </w:rPr>
        <w:t>，</w:t>
      </w:r>
      <w:r>
        <w:rPr>
          <w:rFonts w:ascii="仿宋_GB2312" w:eastAsia="仿宋_GB2312" w:hAnsi="宋体" w:cs="Arial" w:hint="eastAsia"/>
          <w:sz w:val="32"/>
          <w:szCs w:val="32"/>
        </w:rPr>
        <w:t>核实其填报信息的真实性和准确性（被举报反映情况的项目必查），信息不准确-1分/项；存在弄虚作假-2分/项；</w:t>
      </w:r>
      <w:r>
        <w:rPr>
          <w:rFonts w:ascii="仿宋_GB2312" w:eastAsia="仿宋_GB2312" w:hAnsi="宋体" w:hint="eastAsia"/>
          <w:sz w:val="32"/>
          <w:szCs w:val="32"/>
        </w:rPr>
        <w:t>情节严重的按照失信行为严重标准扣-20分</w:t>
      </w:r>
      <w:r>
        <w:rPr>
          <w:rFonts w:ascii="仿宋_GB2312" w:eastAsia="仿宋_GB2312" w:hAnsi="宋体" w:cs="Arial" w:hint="eastAsia"/>
          <w:sz w:val="32"/>
          <w:szCs w:val="32"/>
        </w:rPr>
        <w:t>。</w:t>
      </w:r>
    </w:p>
    <w:p w:rsidR="00C40BEF" w:rsidRDefault="003570E3">
      <w:pPr>
        <w:widowControl w:val="0"/>
        <w:snapToGrid/>
        <w:spacing w:after="0"/>
        <w:rPr>
          <w:rFonts w:ascii="仿宋_GB2312" w:eastAsia="仿宋_GB2312" w:hAnsi="宋体"/>
          <w:sz w:val="32"/>
          <w:szCs w:val="32"/>
        </w:rPr>
      </w:pPr>
      <w:r>
        <w:rPr>
          <w:rFonts w:ascii="仿宋_GB2312" w:eastAsia="仿宋_GB2312" w:hAnsi="宋体" w:cs="Arial" w:hint="eastAsia"/>
          <w:b/>
          <w:sz w:val="32"/>
          <w:szCs w:val="32"/>
        </w:rPr>
        <w:t xml:space="preserve">    9、</w:t>
      </w:r>
      <w:r>
        <w:rPr>
          <w:rFonts w:ascii="仿宋_GB2312" w:eastAsia="仿宋_GB2312" w:hAnsi="宋体" w:hint="eastAsia"/>
          <w:b/>
          <w:sz w:val="32"/>
          <w:szCs w:val="32"/>
        </w:rPr>
        <w:t>上年度考核结果：</w:t>
      </w:r>
      <w:r>
        <w:rPr>
          <w:rFonts w:ascii="仿宋_GB2312" w:eastAsia="仿宋_GB2312" w:hAnsi="宋体" w:hint="eastAsia"/>
          <w:sz w:val="32"/>
          <w:szCs w:val="32"/>
        </w:rPr>
        <w:t xml:space="preserve"> 上一年度动态考评累计扣分×5%。</w:t>
      </w:r>
    </w:p>
    <w:p w:rsidR="00C40BEF" w:rsidRDefault="003570E3">
      <w:pPr>
        <w:widowControl w:val="0"/>
        <w:snapToGrid/>
        <w:spacing w:after="0"/>
        <w:ind w:firstLineChars="200" w:firstLine="640"/>
        <w:rPr>
          <w:rFonts w:ascii="黑体" w:eastAsia="黑体" w:hAnsi="黑体" w:cs="Arial"/>
          <w:sz w:val="32"/>
          <w:szCs w:val="32"/>
        </w:rPr>
      </w:pPr>
      <w:r>
        <w:rPr>
          <w:rFonts w:ascii="黑体" w:eastAsia="黑体" w:hAnsi="黑体" w:cs="Arial" w:hint="eastAsia"/>
          <w:sz w:val="32"/>
          <w:szCs w:val="32"/>
        </w:rPr>
        <w:t xml:space="preserve">五、差别化管理 </w:t>
      </w:r>
    </w:p>
    <w:p w:rsidR="00C40BEF" w:rsidRDefault="003570E3">
      <w:pPr>
        <w:widowControl w:val="0"/>
        <w:snapToGrid/>
        <w:spacing w:after="0"/>
        <w:ind w:firstLine="660"/>
        <w:rPr>
          <w:rFonts w:ascii="仿宋_GB2312" w:eastAsia="仿宋_GB2312" w:hAnsi="宋体" w:cs="Arial"/>
          <w:sz w:val="32"/>
          <w:szCs w:val="32"/>
        </w:rPr>
      </w:pPr>
      <w:r>
        <w:rPr>
          <w:rFonts w:ascii="仿宋_GB2312" w:eastAsia="仿宋_GB2312" w:hAnsi="宋体" w:cs="Arial" w:hint="eastAsia"/>
          <w:sz w:val="32"/>
          <w:szCs w:val="32"/>
        </w:rPr>
        <w:t>（1）招标人应根据项目规模和综合评分确定的排名作为报名条件，并在比选文件中明确。</w:t>
      </w:r>
    </w:p>
    <w:p w:rsidR="00C40BEF" w:rsidRDefault="003570E3">
      <w:pPr>
        <w:widowControl w:val="0"/>
        <w:snapToGrid/>
        <w:spacing w:after="0"/>
        <w:ind w:firstLine="660"/>
        <w:rPr>
          <w:rFonts w:ascii="仿宋_GB2312" w:eastAsia="仿宋_GB2312" w:hAnsi="宋体" w:cs="Arial"/>
          <w:sz w:val="32"/>
          <w:szCs w:val="32"/>
        </w:rPr>
      </w:pPr>
      <w:r>
        <w:rPr>
          <w:rFonts w:ascii="仿宋_GB2312" w:eastAsia="仿宋_GB2312" w:hAnsi="宋体" w:cs="Arial" w:hint="eastAsia"/>
          <w:sz w:val="32"/>
          <w:szCs w:val="32"/>
        </w:rPr>
        <w:t>（2）对发生较重或者严重不良行为的代理机构，进行公示、通报，并限制其建设工程项目的代理业务。</w:t>
      </w:r>
    </w:p>
    <w:p w:rsidR="00C40BEF" w:rsidRDefault="00C40BEF">
      <w:pPr>
        <w:widowControl w:val="0"/>
        <w:snapToGrid/>
        <w:spacing w:after="0"/>
        <w:ind w:firstLine="660"/>
        <w:rPr>
          <w:rFonts w:ascii="仿宋_GB2312" w:eastAsia="仿宋_GB2312" w:hAnsi="宋体" w:cs="Arial"/>
          <w:sz w:val="32"/>
          <w:szCs w:val="32"/>
        </w:rPr>
      </w:pPr>
    </w:p>
    <w:p w:rsidR="00C40BEF" w:rsidRDefault="00C40BEF">
      <w:pPr>
        <w:widowControl w:val="0"/>
        <w:snapToGrid/>
        <w:spacing w:after="0"/>
        <w:ind w:firstLine="660"/>
        <w:rPr>
          <w:rFonts w:ascii="仿宋_GB2312" w:eastAsia="仿宋_GB2312" w:hAnsi="宋体" w:cs="Arial"/>
          <w:sz w:val="32"/>
          <w:szCs w:val="32"/>
        </w:rPr>
      </w:pPr>
    </w:p>
    <w:p w:rsidR="00C40BEF" w:rsidRDefault="003570E3">
      <w:pPr>
        <w:wordWrap w:val="0"/>
        <w:ind w:firstLine="660"/>
        <w:jc w:val="right"/>
        <w:rPr>
          <w:rFonts w:ascii="仿宋_GB2312" w:eastAsia="仿宋_GB2312" w:hAnsi="宋体" w:cs="Arial"/>
          <w:sz w:val="32"/>
          <w:szCs w:val="32"/>
        </w:rPr>
      </w:pPr>
      <w:r>
        <w:rPr>
          <w:rFonts w:ascii="仿宋_GB2312" w:eastAsia="仿宋_GB2312" w:hAnsi="宋体" w:cs="Arial" w:hint="eastAsia"/>
          <w:sz w:val="32"/>
          <w:szCs w:val="32"/>
        </w:rPr>
        <w:t xml:space="preserve">     </w:t>
      </w:r>
    </w:p>
    <w:p w:rsidR="00C40BEF" w:rsidRDefault="003570E3">
      <w:pPr>
        <w:rPr>
          <w:rFonts w:ascii="宋体" w:eastAsia="宋体" w:hAnsi="宋体"/>
          <w:sz w:val="32"/>
          <w:szCs w:val="32"/>
        </w:rPr>
        <w:sectPr w:rsidR="00C40BEF">
          <w:footerReference w:type="even" r:id="rId8"/>
          <w:footerReference w:type="default" r:id="rId9"/>
          <w:pgSz w:w="11906" w:h="16838"/>
          <w:pgMar w:top="2007" w:right="1701" w:bottom="2007" w:left="1797" w:header="851" w:footer="1247" w:gutter="0"/>
          <w:pgNumType w:fmt="numberInDash"/>
          <w:cols w:space="425"/>
          <w:docGrid w:type="lines" w:linePitch="312"/>
        </w:sectPr>
      </w:pPr>
      <w:r>
        <w:rPr>
          <w:rFonts w:ascii="宋体" w:eastAsia="宋体" w:hAnsi="宋体" w:cs="Arial"/>
          <w:b/>
          <w:sz w:val="32"/>
          <w:szCs w:val="32"/>
        </w:rPr>
        <w:br w:type="page"/>
      </w:r>
      <w:bookmarkStart w:id="0" w:name="_GoBack"/>
      <w:bookmarkEnd w:id="0"/>
    </w:p>
    <w:p w:rsidR="00C40BEF" w:rsidRDefault="003570E3">
      <w:pPr>
        <w:widowControl w:val="0"/>
        <w:snapToGrid/>
        <w:rPr>
          <w:rFonts w:ascii="黑体" w:eastAsia="黑体" w:hAnsi="黑体"/>
          <w:sz w:val="32"/>
          <w:szCs w:val="32"/>
        </w:rPr>
      </w:pPr>
      <w:r>
        <w:rPr>
          <w:rFonts w:ascii="黑体" w:eastAsia="黑体" w:hAnsi="黑体" w:hint="eastAsia"/>
          <w:sz w:val="32"/>
          <w:szCs w:val="32"/>
        </w:rPr>
        <w:lastRenderedPageBreak/>
        <w:t>附件2</w:t>
      </w:r>
    </w:p>
    <w:p w:rsidR="00C40BEF" w:rsidRDefault="003570E3">
      <w:pPr>
        <w:widowControl w:val="0"/>
        <w:snapToGrid/>
        <w:jc w:val="center"/>
        <w:rPr>
          <w:rFonts w:asciiTheme="majorEastAsia" w:eastAsiaTheme="majorEastAsia" w:hAnsiTheme="majorEastAsia"/>
          <w:b/>
        </w:rPr>
      </w:pPr>
      <w:r>
        <w:rPr>
          <w:rFonts w:asciiTheme="majorEastAsia" w:eastAsiaTheme="majorEastAsia" w:hAnsiTheme="majorEastAsia" w:hint="eastAsia"/>
          <w:b/>
          <w:sz w:val="36"/>
          <w:szCs w:val="36"/>
        </w:rPr>
        <w:t>连云港市工程招标代理机构动态考核分值表</w:t>
      </w:r>
      <w:r>
        <w:rPr>
          <w:rFonts w:asciiTheme="majorEastAsia" w:eastAsiaTheme="majorEastAsia" w:hAnsiTheme="majorEastAsia" w:hint="eastAsia"/>
          <w:b/>
        </w:rPr>
        <w:t>(2018年)</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6"/>
        <w:gridCol w:w="529"/>
        <w:gridCol w:w="1137"/>
        <w:gridCol w:w="5392"/>
        <w:gridCol w:w="1412"/>
        <w:gridCol w:w="986"/>
      </w:tblGrid>
      <w:tr w:rsidR="00C40BEF">
        <w:trPr>
          <w:trHeight w:val="681"/>
        </w:trPr>
        <w:tc>
          <w:tcPr>
            <w:tcW w:w="743" w:type="dxa"/>
            <w:vAlign w:val="center"/>
          </w:tcPr>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序号</w:t>
            </w:r>
          </w:p>
        </w:tc>
        <w:tc>
          <w:tcPr>
            <w:tcW w:w="1672" w:type="dxa"/>
            <w:gridSpan w:val="3"/>
            <w:vAlign w:val="center"/>
          </w:tcPr>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评价内容</w:t>
            </w:r>
          </w:p>
        </w:tc>
        <w:tc>
          <w:tcPr>
            <w:tcW w:w="5392" w:type="dxa"/>
            <w:vAlign w:val="center"/>
          </w:tcPr>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评分标准</w:t>
            </w:r>
          </w:p>
        </w:tc>
        <w:tc>
          <w:tcPr>
            <w:tcW w:w="1412" w:type="dxa"/>
            <w:vAlign w:val="center"/>
          </w:tcPr>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考核</w:t>
            </w:r>
          </w:p>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得分</w:t>
            </w:r>
          </w:p>
        </w:tc>
        <w:tc>
          <w:tcPr>
            <w:tcW w:w="986" w:type="dxa"/>
            <w:vAlign w:val="center"/>
          </w:tcPr>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分值</w:t>
            </w:r>
          </w:p>
          <w:p w:rsidR="00C40BEF" w:rsidRDefault="003570E3">
            <w:pPr>
              <w:widowControl w:val="0"/>
              <w:snapToGrid/>
              <w:spacing w:after="0" w:line="280" w:lineRule="exact"/>
              <w:jc w:val="center"/>
              <w:rPr>
                <w:rFonts w:ascii="宋体" w:eastAsia="宋体" w:hAnsi="宋体"/>
                <w:b/>
              </w:rPr>
            </w:pPr>
            <w:r>
              <w:rPr>
                <w:rFonts w:ascii="宋体" w:eastAsia="宋体" w:hAnsi="宋体" w:hint="eastAsia"/>
                <w:b/>
              </w:rPr>
              <w:t>说明</w:t>
            </w:r>
          </w:p>
        </w:tc>
      </w:tr>
      <w:tr w:rsidR="00C40BEF">
        <w:trPr>
          <w:trHeight w:val="765"/>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1</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办公场所</w:t>
            </w:r>
          </w:p>
        </w:tc>
        <w:tc>
          <w:tcPr>
            <w:tcW w:w="5392" w:type="dxa"/>
            <w:vAlign w:val="center"/>
          </w:tcPr>
          <w:p w:rsidR="00C40BEF" w:rsidRDefault="003570E3">
            <w:pPr>
              <w:widowControl w:val="0"/>
              <w:snapToGrid/>
              <w:spacing w:after="0" w:line="280" w:lineRule="exact"/>
              <w:jc w:val="both"/>
              <w:rPr>
                <w:rFonts w:ascii="宋体" w:eastAsia="宋体" w:hAnsi="宋体"/>
                <w:sz w:val="21"/>
                <w:szCs w:val="21"/>
              </w:rPr>
            </w:pPr>
            <w:r>
              <w:rPr>
                <w:rFonts w:ascii="宋体" w:eastAsia="宋体" w:hAnsi="宋体" w:hint="eastAsia"/>
                <w:sz w:val="21"/>
                <w:szCs w:val="21"/>
              </w:rPr>
              <w:t>满足150m</w:t>
            </w:r>
            <w:r>
              <w:rPr>
                <w:rFonts w:ascii="宋体" w:eastAsia="宋体" w:hAnsi="宋体" w:hint="eastAsia"/>
                <w:sz w:val="21"/>
                <w:szCs w:val="21"/>
                <w:vertAlign w:val="subscript"/>
              </w:rPr>
              <w:softHyphen/>
            </w:r>
            <w:r>
              <w:rPr>
                <w:rFonts w:ascii="宋体" w:eastAsia="宋体" w:hAnsi="宋体" w:hint="eastAsia"/>
                <w:sz w:val="21"/>
                <w:szCs w:val="21"/>
                <w:vertAlign w:val="superscript"/>
              </w:rPr>
              <w:t>2</w:t>
            </w:r>
            <w:r>
              <w:rPr>
                <w:rFonts w:ascii="宋体" w:eastAsia="宋体" w:hAnsi="宋体" w:hint="eastAsia"/>
                <w:sz w:val="21"/>
                <w:szCs w:val="21"/>
              </w:rPr>
              <w:t>后每增加50m</w:t>
            </w:r>
            <w:r>
              <w:rPr>
                <w:rFonts w:ascii="宋体" w:eastAsia="宋体" w:hAnsi="宋体" w:hint="eastAsia"/>
                <w:sz w:val="21"/>
                <w:szCs w:val="21"/>
                <w:vertAlign w:val="superscript"/>
              </w:rPr>
              <w:t>2</w:t>
            </w:r>
            <w:r>
              <w:rPr>
                <w:rFonts w:ascii="宋体" w:eastAsia="宋体" w:hAnsi="宋体" w:hint="eastAsia"/>
                <w:sz w:val="21"/>
                <w:szCs w:val="21"/>
              </w:rPr>
              <w:t>加0.2分，加分最多不超过2分。</w:t>
            </w:r>
          </w:p>
        </w:tc>
        <w:tc>
          <w:tcPr>
            <w:tcW w:w="1412" w:type="dxa"/>
            <w:vAlign w:val="center"/>
          </w:tcPr>
          <w:p w:rsidR="00C40BEF" w:rsidRDefault="00C40BEF">
            <w:pPr>
              <w:widowControl w:val="0"/>
              <w:snapToGrid/>
              <w:spacing w:after="0" w:line="280" w:lineRule="exact"/>
              <w:jc w:val="center"/>
              <w:rPr>
                <w:rFonts w:ascii="宋体" w:eastAsia="宋体" w:hAnsi="宋体"/>
                <w:color w:val="FF0000"/>
                <w:sz w:val="21"/>
                <w:szCs w:val="21"/>
              </w:rPr>
            </w:pPr>
          </w:p>
        </w:tc>
        <w:tc>
          <w:tcPr>
            <w:tcW w:w="986" w:type="dxa"/>
            <w:vMerge w:val="restart"/>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加分项（不重复计分）</w:t>
            </w:r>
          </w:p>
        </w:tc>
      </w:tr>
      <w:tr w:rsidR="00C40BEF">
        <w:trPr>
          <w:trHeight w:val="780"/>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2</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从业人员</w:t>
            </w:r>
          </w:p>
        </w:tc>
        <w:tc>
          <w:tcPr>
            <w:tcW w:w="5392" w:type="dxa"/>
          </w:tcPr>
          <w:p w:rsidR="00C40BEF" w:rsidRDefault="003570E3">
            <w:pPr>
              <w:widowControl w:val="0"/>
              <w:snapToGrid/>
              <w:spacing w:after="0" w:line="280" w:lineRule="exact"/>
              <w:jc w:val="both"/>
              <w:rPr>
                <w:rFonts w:ascii="宋体" w:eastAsia="宋体" w:hAnsi="宋体"/>
                <w:sz w:val="21"/>
                <w:szCs w:val="21"/>
              </w:rPr>
            </w:pPr>
            <w:r>
              <w:rPr>
                <w:rStyle w:val="aa"/>
                <w:rFonts w:ascii="宋体" w:eastAsia="宋体" w:hAnsi="宋体" w:cs="宋体" w:hint="eastAsia"/>
                <w:sz w:val="21"/>
                <w:szCs w:val="21"/>
              </w:rPr>
              <w:t>满足</w:t>
            </w:r>
            <w:r>
              <w:rPr>
                <w:rStyle w:val="aa"/>
                <w:rFonts w:ascii="宋体" w:eastAsia="宋体" w:hAnsi="宋体" w:cs="宋体" w:hint="eastAsia"/>
                <w:sz w:val="21"/>
                <w:szCs w:val="21"/>
                <w:lang w:val="zh-TW"/>
              </w:rPr>
              <w:t>3名注册造价师后每增加1名注册造价师加1分/人，最多加10分；其他工程建设类注册执业人员加0.5分/人，</w:t>
            </w:r>
            <w:r>
              <w:rPr>
                <w:rFonts w:ascii="宋体" w:eastAsia="宋体" w:hAnsi="宋体" w:cs="宋体"/>
                <w:sz w:val="21"/>
                <w:szCs w:val="21"/>
                <w:lang w:val="zh-TW"/>
              </w:rPr>
              <w:t>最多加6分</w:t>
            </w:r>
            <w:r>
              <w:rPr>
                <w:rFonts w:ascii="宋体" w:eastAsia="宋体" w:hAnsi="宋体" w:cs="宋体" w:hint="eastAsia"/>
                <w:sz w:val="21"/>
                <w:szCs w:val="21"/>
                <w:lang w:val="zh-TW"/>
              </w:rPr>
              <w:t>。（注册人员不含二级）</w:t>
            </w:r>
          </w:p>
        </w:tc>
        <w:tc>
          <w:tcPr>
            <w:tcW w:w="1412" w:type="dxa"/>
            <w:vAlign w:val="center"/>
          </w:tcPr>
          <w:p w:rsidR="00C40BEF" w:rsidRDefault="00C40BEF">
            <w:pPr>
              <w:widowControl w:val="0"/>
              <w:snapToGrid/>
              <w:spacing w:after="0" w:line="280" w:lineRule="exact"/>
              <w:jc w:val="center"/>
              <w:rPr>
                <w:rFonts w:ascii="宋体" w:eastAsia="宋体" w:hAnsi="宋体"/>
                <w:sz w:val="21"/>
                <w:szCs w:val="21"/>
              </w:rPr>
            </w:pPr>
          </w:p>
        </w:tc>
        <w:tc>
          <w:tcPr>
            <w:tcW w:w="986" w:type="dxa"/>
            <w:vMerge/>
            <w:vAlign w:val="center"/>
          </w:tcPr>
          <w:p w:rsidR="00C40BEF" w:rsidRDefault="00C40BEF">
            <w:pPr>
              <w:widowControl w:val="0"/>
              <w:snapToGrid/>
              <w:spacing w:after="0" w:line="280" w:lineRule="exact"/>
              <w:jc w:val="center"/>
              <w:rPr>
                <w:rFonts w:ascii="宋体" w:eastAsia="宋体" w:hAnsi="宋体"/>
                <w:sz w:val="21"/>
                <w:szCs w:val="21"/>
              </w:rPr>
            </w:pPr>
          </w:p>
        </w:tc>
      </w:tr>
      <w:tr w:rsidR="00C40BEF">
        <w:trPr>
          <w:trHeight w:val="632"/>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3</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代理业绩</w:t>
            </w:r>
          </w:p>
        </w:tc>
        <w:tc>
          <w:tcPr>
            <w:tcW w:w="5392" w:type="dxa"/>
          </w:tcPr>
          <w:p w:rsidR="00C40BEF" w:rsidRDefault="003570E3">
            <w:pPr>
              <w:widowControl w:val="0"/>
              <w:snapToGrid/>
              <w:spacing w:after="0" w:line="280" w:lineRule="exact"/>
              <w:jc w:val="both"/>
              <w:rPr>
                <w:rStyle w:val="aa"/>
                <w:rFonts w:ascii="宋体" w:eastAsia="宋体" w:hAnsi="宋体" w:cs="宋体"/>
                <w:sz w:val="21"/>
                <w:szCs w:val="21"/>
                <w:lang w:val="zh-TW"/>
              </w:rPr>
            </w:pPr>
            <w:r>
              <w:rPr>
                <w:rStyle w:val="aa"/>
                <w:rFonts w:ascii="宋体" w:eastAsia="宋体" w:hAnsi="宋体" w:cs="宋体" w:hint="eastAsia"/>
                <w:sz w:val="21"/>
                <w:szCs w:val="21"/>
                <w:lang w:val="zh-TW"/>
              </w:rPr>
              <w:t>上年度每一个标段加0.2分；中标额1亿元人民币及以上标段另加0.5分，最多不超过5分。</w:t>
            </w:r>
          </w:p>
        </w:tc>
        <w:tc>
          <w:tcPr>
            <w:tcW w:w="1412" w:type="dxa"/>
            <w:vAlign w:val="center"/>
          </w:tcPr>
          <w:p w:rsidR="00C40BEF" w:rsidRDefault="00C40BEF">
            <w:pPr>
              <w:widowControl w:val="0"/>
              <w:snapToGrid/>
              <w:spacing w:after="0" w:line="280" w:lineRule="exact"/>
              <w:jc w:val="center"/>
              <w:rPr>
                <w:rFonts w:ascii="宋体" w:eastAsia="宋体" w:hAnsi="宋体"/>
                <w:sz w:val="21"/>
                <w:szCs w:val="21"/>
              </w:rPr>
            </w:pPr>
          </w:p>
        </w:tc>
        <w:tc>
          <w:tcPr>
            <w:tcW w:w="986" w:type="dxa"/>
            <w:vMerge/>
            <w:vAlign w:val="center"/>
          </w:tcPr>
          <w:p w:rsidR="00C40BEF" w:rsidRPr="00C40BEF" w:rsidRDefault="00C40BEF">
            <w:pPr>
              <w:widowControl w:val="0"/>
              <w:snapToGrid/>
              <w:spacing w:after="0" w:line="280" w:lineRule="exact"/>
              <w:jc w:val="center"/>
              <w:rPr>
                <w:rStyle w:val="aa"/>
                <w:rFonts w:ascii="宋体" w:eastAsia="宋体" w:hAnsi="宋体" w:cs="宋体"/>
                <w:sz w:val="21"/>
                <w:szCs w:val="21"/>
                <w:lang w:val="zh-TW"/>
                <w:rPrChange w:id="1" w:author="秦杭" w:date="2018-11-12T15:03:00Z">
                  <w:rPr>
                    <w:rStyle w:val="aa"/>
                    <w:rFonts w:ascii="宋体" w:eastAsia="宋体" w:hAnsi="宋体" w:cs="宋体"/>
                    <w:lang w:val="zh-TW"/>
                  </w:rPr>
                </w:rPrChange>
              </w:rPr>
            </w:pPr>
          </w:p>
        </w:tc>
      </w:tr>
      <w:tr w:rsidR="00C40BEF">
        <w:trPr>
          <w:trHeight w:val="632"/>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4</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表彰奖励</w:t>
            </w:r>
          </w:p>
        </w:tc>
        <w:tc>
          <w:tcPr>
            <w:tcW w:w="5392" w:type="dxa"/>
          </w:tcPr>
          <w:p w:rsidR="00C40BEF" w:rsidRDefault="003570E3">
            <w:pPr>
              <w:widowControl w:val="0"/>
              <w:snapToGrid/>
              <w:spacing w:after="0" w:line="280" w:lineRule="exact"/>
              <w:jc w:val="both"/>
              <w:rPr>
                <w:rStyle w:val="aa"/>
                <w:rFonts w:ascii="宋体" w:eastAsia="宋体" w:hAnsi="宋体" w:cs="宋体"/>
                <w:color w:val="FFFFFF" w:themeColor="background1"/>
                <w:sz w:val="21"/>
                <w:szCs w:val="21"/>
                <w:lang w:val="zh-TW"/>
              </w:rPr>
            </w:pPr>
            <w:r>
              <w:rPr>
                <w:rFonts w:ascii="宋体" w:eastAsia="宋体" w:hAnsi="宋体" w:hint="eastAsia"/>
                <w:sz w:val="21"/>
                <w:szCs w:val="21"/>
              </w:rPr>
              <w:t>成立党、工会组织的，受到县级以上表彰奖励的、参与政策制定、课题研究，加0.1分/项，最多加2分；BIM应用加1分；全年无违反公约行为的加2分；社会信誉良好加2分；签订行业自律公约的加2分；</w:t>
            </w:r>
          </w:p>
        </w:tc>
        <w:tc>
          <w:tcPr>
            <w:tcW w:w="1412" w:type="dxa"/>
            <w:vAlign w:val="center"/>
          </w:tcPr>
          <w:p w:rsidR="00C40BEF" w:rsidRDefault="00C40BEF">
            <w:pPr>
              <w:widowControl w:val="0"/>
              <w:snapToGrid/>
              <w:spacing w:after="0" w:line="280" w:lineRule="exact"/>
              <w:jc w:val="center"/>
              <w:rPr>
                <w:rFonts w:ascii="宋体" w:eastAsia="宋体" w:hAnsi="宋体"/>
                <w:color w:val="FFFFFF" w:themeColor="background1"/>
                <w:sz w:val="21"/>
                <w:szCs w:val="21"/>
              </w:rPr>
            </w:pPr>
          </w:p>
        </w:tc>
        <w:tc>
          <w:tcPr>
            <w:tcW w:w="986" w:type="dxa"/>
            <w:vMerge/>
            <w:vAlign w:val="center"/>
          </w:tcPr>
          <w:p w:rsidR="00C40BEF" w:rsidRDefault="00C40BEF">
            <w:pPr>
              <w:widowControl w:val="0"/>
              <w:snapToGrid/>
              <w:spacing w:after="0" w:line="280" w:lineRule="exact"/>
              <w:jc w:val="center"/>
              <w:rPr>
                <w:rStyle w:val="aa"/>
                <w:rFonts w:ascii="宋体" w:eastAsia="宋体" w:hAnsi="宋体" w:cs="宋体"/>
                <w:color w:val="FFFFFF" w:themeColor="background1"/>
                <w:sz w:val="21"/>
                <w:szCs w:val="21"/>
                <w:lang w:val="zh-TW"/>
              </w:rPr>
            </w:pPr>
          </w:p>
        </w:tc>
      </w:tr>
      <w:tr w:rsidR="00C40BEF">
        <w:trPr>
          <w:trHeight w:val="632"/>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5</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参加活动</w:t>
            </w:r>
          </w:p>
        </w:tc>
        <w:tc>
          <w:tcPr>
            <w:tcW w:w="5392" w:type="dxa"/>
          </w:tcPr>
          <w:p w:rsidR="00C40BEF" w:rsidRDefault="003570E3">
            <w:pPr>
              <w:widowControl w:val="0"/>
              <w:snapToGrid/>
              <w:spacing w:after="0" w:line="280" w:lineRule="exact"/>
              <w:jc w:val="both"/>
              <w:rPr>
                <w:rFonts w:ascii="宋体" w:eastAsia="宋体" w:hAnsi="宋体"/>
                <w:sz w:val="21"/>
                <w:szCs w:val="21"/>
              </w:rPr>
            </w:pPr>
            <w:r>
              <w:rPr>
                <w:rStyle w:val="aa"/>
                <w:rFonts w:ascii="宋体" w:eastAsia="宋体" w:hAnsi="宋体" w:cs="宋体"/>
                <w:sz w:val="21"/>
                <w:szCs w:val="21"/>
                <w:lang w:val="zh-TW"/>
              </w:rPr>
              <w:t>未按</w:t>
            </w:r>
            <w:r>
              <w:rPr>
                <w:rStyle w:val="aa"/>
                <w:rFonts w:ascii="宋体" w:eastAsia="宋体" w:hAnsi="宋体" w:cs="宋体" w:hint="eastAsia"/>
                <w:sz w:val="21"/>
                <w:szCs w:val="21"/>
                <w:lang w:val="zh-TW"/>
              </w:rPr>
              <w:t>照</w:t>
            </w:r>
            <w:r>
              <w:rPr>
                <w:rStyle w:val="aa"/>
                <w:rFonts w:ascii="宋体" w:eastAsia="宋体" w:hAnsi="宋体" w:cs="宋体"/>
                <w:sz w:val="21"/>
                <w:szCs w:val="21"/>
                <w:lang w:val="zh-TW"/>
              </w:rPr>
              <w:t>要求响应招投标监管机构组织的学习、交流、会议、报送年报或开展的其他活动情况，扣0.5分/次</w:t>
            </w:r>
            <w:r>
              <w:rPr>
                <w:rStyle w:val="aa"/>
                <w:rFonts w:ascii="宋体" w:eastAsia="宋体" w:hAnsi="宋体" w:cs="宋体" w:hint="eastAsia"/>
                <w:sz w:val="21"/>
                <w:szCs w:val="21"/>
                <w:lang w:val="zh-TW"/>
              </w:rPr>
              <w:t>。</w:t>
            </w:r>
          </w:p>
        </w:tc>
        <w:tc>
          <w:tcPr>
            <w:tcW w:w="1412" w:type="dxa"/>
            <w:vAlign w:val="center"/>
          </w:tcPr>
          <w:p w:rsidR="00C40BEF" w:rsidRDefault="00C40BEF">
            <w:pPr>
              <w:widowControl w:val="0"/>
              <w:snapToGrid/>
              <w:spacing w:after="0" w:line="280" w:lineRule="exact"/>
              <w:jc w:val="center"/>
              <w:rPr>
                <w:rFonts w:ascii="宋体" w:eastAsia="宋体" w:hAnsi="宋体"/>
                <w:color w:val="FF0000"/>
                <w:sz w:val="21"/>
                <w:szCs w:val="21"/>
              </w:rPr>
            </w:pPr>
          </w:p>
        </w:tc>
        <w:tc>
          <w:tcPr>
            <w:tcW w:w="986" w:type="dxa"/>
            <w:vMerge w:val="restart"/>
            <w:vAlign w:val="center"/>
          </w:tcPr>
          <w:p w:rsidR="00C40BEF" w:rsidRDefault="00C40BEF">
            <w:pPr>
              <w:widowControl w:val="0"/>
              <w:snapToGrid/>
              <w:spacing w:after="0" w:line="280" w:lineRule="exact"/>
              <w:jc w:val="center"/>
              <w:rPr>
                <w:rFonts w:ascii="宋体" w:eastAsia="宋体" w:hAnsi="宋体"/>
                <w:sz w:val="21"/>
                <w:szCs w:val="21"/>
              </w:rPr>
            </w:pPr>
          </w:p>
          <w:p w:rsidR="00C40BEF" w:rsidRDefault="003570E3">
            <w:pPr>
              <w:widowControl w:val="0"/>
              <w:snapToGrid/>
              <w:spacing w:after="0" w:line="280" w:lineRule="exact"/>
              <w:jc w:val="center"/>
              <w:rPr>
                <w:rFonts w:ascii="宋体" w:eastAsia="宋体" w:hAnsi="宋体"/>
                <w:sz w:val="21"/>
                <w:szCs w:val="21"/>
              </w:rPr>
            </w:pPr>
            <w:r>
              <w:rPr>
                <w:rStyle w:val="aa"/>
                <w:rFonts w:ascii="宋体" w:eastAsia="宋体" w:hAnsi="宋体" w:cs="宋体"/>
                <w:sz w:val="21"/>
                <w:szCs w:val="21"/>
                <w:lang w:val="zh-TW"/>
              </w:rPr>
              <w:t>扣分项</w:t>
            </w:r>
            <w:r>
              <w:rPr>
                <w:rStyle w:val="aa"/>
                <w:rFonts w:ascii="宋体" w:eastAsia="宋体" w:hAnsi="宋体" w:cs="宋体" w:hint="eastAsia"/>
                <w:sz w:val="21"/>
                <w:szCs w:val="21"/>
                <w:lang w:val="zh-TW"/>
              </w:rPr>
              <w:t>（不重复计分）</w:t>
            </w:r>
          </w:p>
          <w:p w:rsidR="00C40BEF" w:rsidRDefault="00C40BEF">
            <w:pPr>
              <w:widowControl w:val="0"/>
              <w:snapToGrid/>
              <w:spacing w:after="0" w:line="280" w:lineRule="exact"/>
              <w:jc w:val="center"/>
              <w:rPr>
                <w:rFonts w:ascii="宋体" w:eastAsia="宋体" w:hAnsi="宋体"/>
                <w:sz w:val="21"/>
                <w:szCs w:val="21"/>
              </w:rPr>
            </w:pPr>
          </w:p>
        </w:tc>
      </w:tr>
      <w:tr w:rsidR="00C40BEF">
        <w:trPr>
          <w:trHeight w:val="924"/>
        </w:trPr>
        <w:tc>
          <w:tcPr>
            <w:tcW w:w="743" w:type="dxa"/>
            <w:vMerge w:val="restart"/>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6</w:t>
            </w:r>
          </w:p>
        </w:tc>
        <w:tc>
          <w:tcPr>
            <w:tcW w:w="535" w:type="dxa"/>
            <w:gridSpan w:val="2"/>
            <w:vMerge w:val="restart"/>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日常代理行为</w:t>
            </w:r>
          </w:p>
        </w:tc>
        <w:tc>
          <w:tcPr>
            <w:tcW w:w="1137"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业务缺陷</w:t>
            </w:r>
          </w:p>
        </w:tc>
        <w:tc>
          <w:tcPr>
            <w:tcW w:w="5392" w:type="dxa"/>
          </w:tcPr>
          <w:p w:rsidR="00C40BEF" w:rsidRDefault="003570E3">
            <w:pPr>
              <w:widowControl w:val="0"/>
              <w:snapToGrid/>
              <w:spacing w:after="0" w:line="280" w:lineRule="exact"/>
              <w:jc w:val="both"/>
              <w:rPr>
                <w:rFonts w:ascii="宋体" w:eastAsia="宋体" w:hAnsi="宋体"/>
                <w:sz w:val="21"/>
                <w:szCs w:val="21"/>
              </w:rPr>
            </w:pPr>
            <w:r>
              <w:rPr>
                <w:rStyle w:val="aa"/>
                <w:rFonts w:ascii="宋体" w:eastAsia="宋体" w:hAnsi="宋体" w:cs="宋体"/>
                <w:sz w:val="21"/>
                <w:szCs w:val="21"/>
                <w:lang w:val="zh-TW" w:eastAsia="zh-TW"/>
              </w:rPr>
              <w:t>按照附件</w:t>
            </w:r>
            <w:r>
              <w:rPr>
                <w:rStyle w:val="aa"/>
                <w:rFonts w:ascii="宋体" w:eastAsia="宋体" w:hAnsi="宋体" w:cs="宋体" w:hint="eastAsia"/>
                <w:sz w:val="21"/>
                <w:szCs w:val="21"/>
                <w:lang w:val="zh-TW"/>
              </w:rPr>
              <w:t>3</w:t>
            </w:r>
            <w:r>
              <w:rPr>
                <w:rStyle w:val="aa"/>
                <w:rFonts w:ascii="宋体" w:eastAsia="宋体" w:hAnsi="宋体" w:cs="宋体"/>
                <w:sz w:val="21"/>
                <w:szCs w:val="21"/>
                <w:lang w:val="zh-TW" w:eastAsia="zh-TW"/>
              </w:rPr>
              <w:t>在江苏省建设工程招标投标行政监督平台中对招标代理机构及从业人员日常</w:t>
            </w:r>
            <w:r>
              <w:rPr>
                <w:rStyle w:val="aa"/>
                <w:rFonts w:ascii="宋体" w:eastAsia="宋体" w:hAnsi="宋体" w:cs="宋体"/>
                <w:sz w:val="21"/>
                <w:szCs w:val="21"/>
                <w:lang w:val="zh-TW"/>
              </w:rPr>
              <w:t>工作缺陷扣</w:t>
            </w:r>
            <w:r>
              <w:rPr>
                <w:rStyle w:val="aa"/>
                <w:rFonts w:ascii="宋体" w:eastAsia="宋体" w:hAnsi="宋体" w:cs="宋体"/>
                <w:sz w:val="21"/>
                <w:szCs w:val="21"/>
                <w:lang w:val="zh-TW" w:eastAsia="zh-TW"/>
              </w:rPr>
              <w:t>分</w:t>
            </w:r>
            <w:r>
              <w:rPr>
                <w:rStyle w:val="aa"/>
                <w:rFonts w:ascii="宋体" w:eastAsia="宋体" w:hAnsi="宋体" w:cs="宋体"/>
                <w:sz w:val="21"/>
                <w:szCs w:val="21"/>
                <w:lang w:val="zh-TW"/>
              </w:rPr>
              <w:t>，扣0.1-0.5分/次</w:t>
            </w:r>
            <w:r>
              <w:rPr>
                <w:rStyle w:val="aa"/>
                <w:rFonts w:ascii="宋体" w:eastAsia="宋体" w:hAnsi="宋体" w:cs="宋体" w:hint="eastAsia"/>
                <w:sz w:val="21"/>
                <w:szCs w:val="21"/>
                <w:lang w:val="zh-TW"/>
              </w:rPr>
              <w:t>。</w:t>
            </w:r>
          </w:p>
        </w:tc>
        <w:tc>
          <w:tcPr>
            <w:tcW w:w="1412" w:type="dxa"/>
            <w:vAlign w:val="center"/>
          </w:tcPr>
          <w:p w:rsidR="00C40BEF" w:rsidRDefault="00C40BEF">
            <w:pPr>
              <w:widowControl w:val="0"/>
              <w:snapToGrid/>
              <w:spacing w:after="0" w:line="280" w:lineRule="exact"/>
              <w:jc w:val="center"/>
              <w:rPr>
                <w:rFonts w:ascii="宋体" w:eastAsia="宋体" w:hAnsi="宋体"/>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2" w:author="秦杭" w:date="2018-11-12T15:03:00Z">
                  <w:rPr/>
                </w:rPrChange>
              </w:rPr>
            </w:pPr>
          </w:p>
        </w:tc>
      </w:tr>
      <w:tr w:rsidR="00C40BEF">
        <w:trPr>
          <w:trHeight w:val="904"/>
        </w:trPr>
        <w:tc>
          <w:tcPr>
            <w:tcW w:w="743"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3" w:author="秦杭" w:date="2018-11-12T15:03:00Z">
                  <w:rPr/>
                </w:rPrChange>
              </w:rPr>
            </w:pPr>
          </w:p>
        </w:tc>
        <w:tc>
          <w:tcPr>
            <w:tcW w:w="535" w:type="dxa"/>
            <w:gridSpan w:val="2"/>
            <w:vMerge/>
            <w:vAlign w:val="center"/>
          </w:tcPr>
          <w:p w:rsidR="00C40BEF" w:rsidRPr="00C40BEF" w:rsidRDefault="00C40BEF">
            <w:pPr>
              <w:widowControl w:val="0"/>
              <w:snapToGrid/>
              <w:spacing w:after="0" w:line="280" w:lineRule="exact"/>
              <w:jc w:val="center"/>
              <w:rPr>
                <w:rFonts w:ascii="宋体" w:eastAsia="宋体" w:hAnsi="宋体"/>
                <w:sz w:val="21"/>
                <w:szCs w:val="21"/>
                <w:rPrChange w:id="4" w:author="秦杭" w:date="2018-11-12T15:03:00Z">
                  <w:rPr/>
                </w:rPrChange>
              </w:rPr>
            </w:pPr>
          </w:p>
        </w:tc>
        <w:tc>
          <w:tcPr>
            <w:tcW w:w="1137"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失信行为</w:t>
            </w:r>
          </w:p>
        </w:tc>
        <w:tc>
          <w:tcPr>
            <w:tcW w:w="5392" w:type="dxa"/>
          </w:tcPr>
          <w:p w:rsidR="00C40BEF" w:rsidRDefault="003570E3">
            <w:pPr>
              <w:widowControl w:val="0"/>
              <w:snapToGrid/>
              <w:spacing w:after="0" w:line="280" w:lineRule="exact"/>
              <w:jc w:val="both"/>
              <w:rPr>
                <w:rFonts w:ascii="宋体" w:eastAsia="宋体" w:hAnsi="宋体"/>
                <w:sz w:val="21"/>
                <w:szCs w:val="21"/>
              </w:rPr>
            </w:pPr>
            <w:r>
              <w:rPr>
                <w:rStyle w:val="aa"/>
                <w:rFonts w:ascii="宋体" w:eastAsia="宋体" w:hAnsi="宋体" w:cs="宋体"/>
                <w:sz w:val="21"/>
                <w:szCs w:val="21"/>
                <w:lang w:val="zh-TW" w:eastAsia="zh-TW"/>
              </w:rPr>
              <w:t>按照附件</w:t>
            </w:r>
            <w:r>
              <w:rPr>
                <w:rStyle w:val="aa"/>
                <w:rFonts w:ascii="宋体" w:eastAsia="宋体" w:hAnsi="宋体" w:cs="宋体" w:hint="eastAsia"/>
                <w:sz w:val="21"/>
                <w:szCs w:val="21"/>
                <w:lang w:val="zh-TW"/>
              </w:rPr>
              <w:t>4</w:t>
            </w:r>
            <w:r>
              <w:rPr>
                <w:rStyle w:val="aa"/>
                <w:rFonts w:ascii="宋体" w:eastAsia="宋体" w:hAnsi="宋体" w:cs="宋体"/>
                <w:sz w:val="21"/>
                <w:szCs w:val="21"/>
                <w:lang w:val="zh-TW" w:eastAsia="zh-TW"/>
              </w:rPr>
              <w:t>在江苏省建设工程招标投标行政监督平台中对招标代理机构及从业人员的失信行为</w:t>
            </w:r>
            <w:r>
              <w:rPr>
                <w:rStyle w:val="aa"/>
                <w:rFonts w:ascii="宋体" w:eastAsia="宋体" w:hAnsi="宋体" w:cs="宋体"/>
                <w:sz w:val="21"/>
                <w:szCs w:val="21"/>
                <w:lang w:val="zh-TW"/>
              </w:rPr>
              <w:t>扣</w:t>
            </w:r>
            <w:r>
              <w:rPr>
                <w:rStyle w:val="aa"/>
                <w:rFonts w:ascii="宋体" w:eastAsia="宋体" w:hAnsi="宋体" w:cs="宋体"/>
                <w:sz w:val="21"/>
                <w:szCs w:val="21"/>
                <w:lang w:val="zh-TW" w:eastAsia="zh-TW"/>
              </w:rPr>
              <w:t>分。严重失信行为的</w:t>
            </w:r>
            <w:r>
              <w:rPr>
                <w:rStyle w:val="aa"/>
                <w:rFonts w:ascii="宋体" w:eastAsia="宋体" w:hAnsi="宋体" w:cs="宋体"/>
                <w:sz w:val="21"/>
                <w:szCs w:val="21"/>
                <w:lang w:val="zh-TW"/>
              </w:rPr>
              <w:t>扣</w:t>
            </w:r>
            <w:r>
              <w:rPr>
                <w:rStyle w:val="aa"/>
                <w:rFonts w:ascii="宋体" w:eastAsia="宋体" w:hAnsi="宋体" w:cs="宋体"/>
                <w:sz w:val="21"/>
                <w:szCs w:val="21"/>
              </w:rPr>
              <w:t>20</w:t>
            </w:r>
            <w:r>
              <w:rPr>
                <w:rStyle w:val="aa"/>
                <w:rFonts w:ascii="宋体" w:eastAsia="宋体" w:hAnsi="宋体" w:cs="宋体"/>
                <w:sz w:val="21"/>
                <w:szCs w:val="21"/>
                <w:lang w:val="zh-TW" w:eastAsia="zh-TW"/>
              </w:rPr>
              <w:t>分</w:t>
            </w:r>
            <w:r>
              <w:rPr>
                <w:rStyle w:val="aa"/>
                <w:rFonts w:ascii="宋体" w:eastAsia="宋体" w:hAnsi="宋体" w:cs="宋体"/>
                <w:sz w:val="21"/>
                <w:szCs w:val="21"/>
              </w:rPr>
              <w:t>/</w:t>
            </w:r>
            <w:r>
              <w:rPr>
                <w:rStyle w:val="aa"/>
                <w:rFonts w:ascii="宋体" w:eastAsia="宋体" w:hAnsi="宋体" w:cs="宋体"/>
                <w:sz w:val="21"/>
                <w:szCs w:val="21"/>
                <w:lang w:val="zh-TW" w:eastAsia="zh-TW"/>
              </w:rPr>
              <w:t>次，较重失信行为的</w:t>
            </w:r>
            <w:r>
              <w:rPr>
                <w:rStyle w:val="aa"/>
                <w:rFonts w:ascii="宋体" w:eastAsia="宋体" w:hAnsi="宋体" w:cs="宋体"/>
                <w:sz w:val="21"/>
                <w:szCs w:val="21"/>
                <w:lang w:val="zh-TW"/>
              </w:rPr>
              <w:t>扣</w:t>
            </w:r>
            <w:r>
              <w:rPr>
                <w:rStyle w:val="aa"/>
                <w:rFonts w:ascii="宋体" w:eastAsia="宋体" w:hAnsi="宋体" w:cs="宋体"/>
                <w:sz w:val="21"/>
                <w:szCs w:val="21"/>
              </w:rPr>
              <w:t>10</w:t>
            </w:r>
            <w:r>
              <w:rPr>
                <w:rStyle w:val="aa"/>
                <w:rFonts w:ascii="宋体" w:eastAsia="宋体" w:hAnsi="宋体" w:cs="宋体"/>
                <w:sz w:val="21"/>
                <w:szCs w:val="21"/>
                <w:lang w:val="zh-TW" w:eastAsia="zh-TW"/>
              </w:rPr>
              <w:t>分</w:t>
            </w:r>
            <w:r>
              <w:rPr>
                <w:rStyle w:val="aa"/>
                <w:rFonts w:ascii="宋体" w:eastAsia="宋体" w:hAnsi="宋体" w:cs="宋体"/>
                <w:sz w:val="21"/>
                <w:szCs w:val="21"/>
              </w:rPr>
              <w:t>/</w:t>
            </w:r>
            <w:r>
              <w:rPr>
                <w:rStyle w:val="aa"/>
                <w:rFonts w:ascii="宋体" w:eastAsia="宋体" w:hAnsi="宋体" w:cs="宋体"/>
                <w:sz w:val="21"/>
                <w:szCs w:val="21"/>
                <w:lang w:val="zh-TW" w:eastAsia="zh-TW"/>
              </w:rPr>
              <w:t>次，一般失信行为的</w:t>
            </w:r>
            <w:r>
              <w:rPr>
                <w:rStyle w:val="aa"/>
                <w:rFonts w:ascii="宋体" w:eastAsia="宋体" w:hAnsi="宋体" w:cs="宋体"/>
                <w:sz w:val="21"/>
                <w:szCs w:val="21"/>
                <w:lang w:val="zh-TW"/>
              </w:rPr>
              <w:t>扣</w:t>
            </w:r>
            <w:r>
              <w:rPr>
                <w:rStyle w:val="aa"/>
                <w:rFonts w:ascii="宋体" w:eastAsia="宋体" w:hAnsi="宋体" w:cs="宋体"/>
                <w:sz w:val="21"/>
                <w:szCs w:val="21"/>
              </w:rPr>
              <w:t>2</w:t>
            </w:r>
            <w:r>
              <w:rPr>
                <w:rStyle w:val="aa"/>
                <w:rFonts w:ascii="宋体" w:eastAsia="宋体" w:hAnsi="宋体" w:cs="宋体"/>
                <w:sz w:val="21"/>
                <w:szCs w:val="21"/>
                <w:lang w:val="zh-TW" w:eastAsia="zh-TW"/>
              </w:rPr>
              <w:t>分</w:t>
            </w:r>
            <w:r>
              <w:rPr>
                <w:rStyle w:val="aa"/>
                <w:rFonts w:ascii="宋体" w:eastAsia="宋体" w:hAnsi="宋体" w:cs="宋体"/>
                <w:sz w:val="21"/>
                <w:szCs w:val="21"/>
              </w:rPr>
              <w:t>/</w:t>
            </w:r>
            <w:r>
              <w:rPr>
                <w:rStyle w:val="aa"/>
                <w:rFonts w:ascii="宋体" w:eastAsia="宋体" w:hAnsi="宋体" w:cs="宋体"/>
                <w:sz w:val="21"/>
                <w:szCs w:val="21"/>
                <w:lang w:val="zh-TW" w:eastAsia="zh-TW"/>
              </w:rPr>
              <w:t>次</w:t>
            </w:r>
            <w:r>
              <w:rPr>
                <w:rStyle w:val="aa"/>
                <w:rFonts w:ascii="宋体" w:eastAsia="宋体" w:hAnsi="宋体" w:cs="宋体" w:hint="eastAsia"/>
                <w:sz w:val="21"/>
                <w:szCs w:val="21"/>
                <w:lang w:val="zh-TW"/>
              </w:rPr>
              <w:t>。</w:t>
            </w:r>
          </w:p>
        </w:tc>
        <w:tc>
          <w:tcPr>
            <w:tcW w:w="1412" w:type="dxa"/>
            <w:vAlign w:val="center"/>
          </w:tcPr>
          <w:p w:rsidR="00C40BEF" w:rsidRDefault="00C40BEF">
            <w:pPr>
              <w:widowControl w:val="0"/>
              <w:snapToGrid/>
              <w:spacing w:after="0" w:line="280" w:lineRule="exact"/>
              <w:jc w:val="center"/>
              <w:rPr>
                <w:rFonts w:ascii="宋体" w:eastAsia="宋体" w:hAnsi="宋体"/>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5" w:author="秦杭" w:date="2018-11-12T15:03:00Z">
                  <w:rPr/>
                </w:rPrChange>
              </w:rPr>
            </w:pPr>
          </w:p>
        </w:tc>
      </w:tr>
      <w:tr w:rsidR="00C40BEF">
        <w:trPr>
          <w:trHeight w:val="697"/>
        </w:trPr>
        <w:tc>
          <w:tcPr>
            <w:tcW w:w="743"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6" w:author="秦杭" w:date="2018-11-12T15:03:00Z">
                  <w:rPr/>
                </w:rPrChange>
              </w:rPr>
            </w:pPr>
          </w:p>
        </w:tc>
        <w:tc>
          <w:tcPr>
            <w:tcW w:w="535" w:type="dxa"/>
            <w:gridSpan w:val="2"/>
            <w:vMerge/>
            <w:vAlign w:val="center"/>
          </w:tcPr>
          <w:p w:rsidR="00C40BEF" w:rsidRPr="00C40BEF" w:rsidRDefault="00C40BEF">
            <w:pPr>
              <w:widowControl w:val="0"/>
              <w:snapToGrid/>
              <w:spacing w:after="0" w:line="280" w:lineRule="exact"/>
              <w:jc w:val="center"/>
              <w:rPr>
                <w:rFonts w:ascii="宋体" w:eastAsia="宋体" w:hAnsi="宋体"/>
                <w:sz w:val="21"/>
                <w:szCs w:val="21"/>
                <w:rPrChange w:id="7" w:author="秦杭" w:date="2018-11-12T15:03:00Z">
                  <w:rPr/>
                </w:rPrChange>
              </w:rPr>
            </w:pPr>
          </w:p>
        </w:tc>
        <w:tc>
          <w:tcPr>
            <w:tcW w:w="1137"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行业公约</w:t>
            </w:r>
          </w:p>
        </w:tc>
        <w:tc>
          <w:tcPr>
            <w:tcW w:w="5392" w:type="dxa"/>
            <w:vAlign w:val="center"/>
          </w:tcPr>
          <w:p w:rsidR="00C40BEF" w:rsidRDefault="003570E3">
            <w:pPr>
              <w:widowControl w:val="0"/>
              <w:snapToGrid/>
              <w:spacing w:after="0" w:line="280" w:lineRule="exact"/>
              <w:jc w:val="both"/>
              <w:rPr>
                <w:rStyle w:val="aa"/>
                <w:rFonts w:ascii="宋体" w:eastAsia="宋体" w:hAnsi="宋体" w:cs="宋体"/>
                <w:sz w:val="21"/>
                <w:szCs w:val="21"/>
                <w:lang w:val="zh-TW"/>
              </w:rPr>
            </w:pPr>
            <w:r>
              <w:rPr>
                <w:rFonts w:ascii="宋体" w:eastAsia="宋体" w:hAnsi="宋体" w:hint="eastAsia"/>
                <w:sz w:val="21"/>
                <w:szCs w:val="21"/>
              </w:rPr>
              <w:t>按照附件5违反公约的一般不良行为扣2分</w:t>
            </w:r>
            <w:r>
              <w:rPr>
                <w:rFonts w:ascii="宋体" w:eastAsia="宋体" w:hAnsi="宋体"/>
                <w:sz w:val="21"/>
                <w:szCs w:val="21"/>
              </w:rPr>
              <w:t>/</w:t>
            </w:r>
            <w:r>
              <w:rPr>
                <w:rFonts w:ascii="宋体" w:eastAsia="宋体" w:hAnsi="宋体" w:hint="eastAsia"/>
                <w:sz w:val="21"/>
                <w:szCs w:val="21"/>
              </w:rPr>
              <w:t>次，较重不良行为扣10分/次，严重不良行为扣20分/次。</w:t>
            </w:r>
          </w:p>
        </w:tc>
        <w:tc>
          <w:tcPr>
            <w:tcW w:w="1412" w:type="dxa"/>
            <w:vAlign w:val="center"/>
          </w:tcPr>
          <w:p w:rsidR="00C40BEF" w:rsidRDefault="00C40BEF">
            <w:pPr>
              <w:widowControl w:val="0"/>
              <w:snapToGrid/>
              <w:spacing w:after="0" w:line="280" w:lineRule="exact"/>
              <w:jc w:val="center"/>
              <w:rPr>
                <w:rFonts w:ascii="宋体" w:eastAsia="宋体" w:hAnsi="宋体"/>
                <w:color w:val="FF0000"/>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8" w:author="秦杭" w:date="2018-11-12T15:03:00Z">
                  <w:rPr/>
                </w:rPrChange>
              </w:rPr>
            </w:pPr>
          </w:p>
        </w:tc>
      </w:tr>
      <w:tr w:rsidR="00C40BEF">
        <w:trPr>
          <w:trHeight w:val="693"/>
        </w:trPr>
        <w:tc>
          <w:tcPr>
            <w:tcW w:w="743"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9" w:author="秦杭" w:date="2018-11-12T15:03:00Z">
                  <w:rPr/>
                </w:rPrChange>
              </w:rPr>
            </w:pPr>
          </w:p>
        </w:tc>
        <w:tc>
          <w:tcPr>
            <w:tcW w:w="535" w:type="dxa"/>
            <w:gridSpan w:val="2"/>
            <w:vMerge/>
            <w:vAlign w:val="center"/>
          </w:tcPr>
          <w:p w:rsidR="00C40BEF" w:rsidRPr="00C40BEF" w:rsidRDefault="00C40BEF">
            <w:pPr>
              <w:widowControl w:val="0"/>
              <w:snapToGrid/>
              <w:spacing w:after="0" w:line="280" w:lineRule="exact"/>
              <w:jc w:val="center"/>
              <w:rPr>
                <w:rFonts w:ascii="宋体" w:eastAsia="宋体" w:hAnsi="宋体"/>
                <w:sz w:val="21"/>
                <w:szCs w:val="21"/>
                <w:rPrChange w:id="10" w:author="秦杭" w:date="2018-11-12T15:03:00Z">
                  <w:rPr/>
                </w:rPrChange>
              </w:rPr>
            </w:pPr>
          </w:p>
        </w:tc>
        <w:tc>
          <w:tcPr>
            <w:tcW w:w="1137"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社会信誉</w:t>
            </w:r>
          </w:p>
        </w:tc>
        <w:tc>
          <w:tcPr>
            <w:tcW w:w="5392" w:type="dxa"/>
          </w:tcPr>
          <w:p w:rsidR="00C40BEF" w:rsidRDefault="003570E3">
            <w:pPr>
              <w:widowControl w:val="0"/>
              <w:snapToGrid/>
              <w:spacing w:after="0" w:line="280" w:lineRule="exact"/>
              <w:jc w:val="both"/>
              <w:rPr>
                <w:rStyle w:val="aa"/>
                <w:rFonts w:ascii="宋体" w:eastAsia="宋体" w:hAnsi="宋体" w:cs="宋体"/>
                <w:sz w:val="21"/>
                <w:szCs w:val="21"/>
                <w:lang w:val="zh-TW"/>
              </w:rPr>
            </w:pPr>
            <w:r>
              <w:rPr>
                <w:rFonts w:ascii="宋体" w:eastAsia="宋体" w:hAnsi="宋体" w:hint="eastAsia"/>
                <w:sz w:val="21"/>
                <w:szCs w:val="21"/>
              </w:rPr>
              <w:t>根据社会评价反馈情况后综合确定，较差的扣2分；差的扣5分。</w:t>
            </w:r>
          </w:p>
        </w:tc>
        <w:tc>
          <w:tcPr>
            <w:tcW w:w="1412" w:type="dxa"/>
            <w:vAlign w:val="center"/>
          </w:tcPr>
          <w:p w:rsidR="00C40BEF" w:rsidRDefault="00C40BEF">
            <w:pPr>
              <w:widowControl w:val="0"/>
              <w:snapToGrid/>
              <w:spacing w:after="0" w:line="280" w:lineRule="exact"/>
              <w:jc w:val="center"/>
              <w:rPr>
                <w:rFonts w:ascii="宋体" w:eastAsia="宋体" w:hAnsi="宋体"/>
                <w:color w:val="FF0000"/>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11" w:author="秦杭" w:date="2018-11-12T15:03:00Z">
                  <w:rPr/>
                </w:rPrChange>
              </w:rPr>
            </w:pPr>
          </w:p>
        </w:tc>
      </w:tr>
      <w:tr w:rsidR="00C40BEF">
        <w:trPr>
          <w:trHeight w:val="1005"/>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7</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业务知识</w:t>
            </w:r>
          </w:p>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考核</w:t>
            </w:r>
          </w:p>
        </w:tc>
        <w:tc>
          <w:tcPr>
            <w:tcW w:w="5392" w:type="dxa"/>
          </w:tcPr>
          <w:p w:rsidR="00C40BEF" w:rsidRDefault="003570E3">
            <w:pPr>
              <w:widowControl w:val="0"/>
              <w:snapToGrid/>
              <w:spacing w:after="0" w:line="280" w:lineRule="exact"/>
              <w:jc w:val="both"/>
              <w:rPr>
                <w:rFonts w:ascii="宋体" w:eastAsia="宋体" w:hAnsi="宋体"/>
                <w:sz w:val="21"/>
                <w:szCs w:val="21"/>
              </w:rPr>
            </w:pPr>
            <w:r>
              <w:rPr>
                <w:rStyle w:val="aa"/>
                <w:rFonts w:ascii="宋体" w:eastAsia="宋体" w:hAnsi="宋体" w:cs="宋体"/>
                <w:sz w:val="21"/>
                <w:szCs w:val="21"/>
                <w:lang w:val="zh-TW"/>
              </w:rPr>
              <w:t>招标代理机构</w:t>
            </w:r>
            <w:r>
              <w:rPr>
                <w:rStyle w:val="aa"/>
                <w:rFonts w:ascii="宋体" w:eastAsia="宋体" w:hAnsi="宋体" w:cs="宋体" w:hint="eastAsia"/>
                <w:sz w:val="21"/>
                <w:szCs w:val="21"/>
                <w:lang w:val="zh-TW"/>
              </w:rPr>
              <w:t>或在连分公司</w:t>
            </w:r>
            <w:r>
              <w:rPr>
                <w:rStyle w:val="aa"/>
                <w:rFonts w:ascii="宋体" w:eastAsia="宋体" w:hAnsi="宋体" w:cs="宋体"/>
                <w:sz w:val="21"/>
                <w:szCs w:val="21"/>
                <w:lang w:val="zh-TW"/>
              </w:rPr>
              <w:t>在库从业人员中，凡是当年度做过代理组项目成员的，均需参加年度业务知识考核；如果全年项目组成员人数不足5人的，需补充其他人员参加业务知识考核（即参加业务知识考核人数应</w:t>
            </w:r>
            <w:r>
              <w:rPr>
                <w:rFonts w:ascii="宋体" w:eastAsia="宋体" w:hAnsi="宋体" w:cs="宋体"/>
                <w:sz w:val="21"/>
                <w:szCs w:val="21"/>
              </w:rPr>
              <w:t>≧5人</w:t>
            </w:r>
            <w:r>
              <w:rPr>
                <w:rStyle w:val="aa"/>
                <w:rFonts w:ascii="宋体" w:eastAsia="宋体" w:hAnsi="宋体" w:cs="宋体"/>
                <w:sz w:val="21"/>
                <w:szCs w:val="21"/>
                <w:lang w:val="zh-TW"/>
              </w:rPr>
              <w:t>）</w:t>
            </w:r>
            <w:r>
              <w:rPr>
                <w:rStyle w:val="aa"/>
                <w:rFonts w:ascii="宋体" w:eastAsia="宋体" w:hAnsi="宋体" w:cs="宋体" w:hint="eastAsia"/>
                <w:sz w:val="21"/>
                <w:szCs w:val="21"/>
                <w:lang w:val="zh-TW"/>
              </w:rPr>
              <w:t>，</w:t>
            </w:r>
            <w:r>
              <w:rPr>
                <w:rStyle w:val="aa"/>
                <w:rFonts w:ascii="宋体" w:eastAsia="宋体" w:hAnsi="宋体" w:cs="宋体"/>
                <w:sz w:val="21"/>
                <w:szCs w:val="21"/>
                <w:lang w:val="zh-TW"/>
              </w:rPr>
              <w:t>缺考或考核未通过的扣1分/人</w:t>
            </w:r>
            <w:r>
              <w:rPr>
                <w:rStyle w:val="aa"/>
                <w:rFonts w:ascii="宋体" w:eastAsia="宋体" w:hAnsi="宋体" w:cs="宋体" w:hint="eastAsia"/>
                <w:sz w:val="21"/>
                <w:szCs w:val="21"/>
                <w:lang w:val="zh-TW"/>
              </w:rPr>
              <w:t>；新进系统的代理机构或分公司未参加从业前考核的，业务知识考核分为0分。</w:t>
            </w:r>
          </w:p>
        </w:tc>
        <w:tc>
          <w:tcPr>
            <w:tcW w:w="1412" w:type="dxa"/>
            <w:vAlign w:val="center"/>
          </w:tcPr>
          <w:p w:rsidR="00C40BEF" w:rsidRDefault="00C40BEF">
            <w:pPr>
              <w:widowControl w:val="0"/>
              <w:snapToGrid/>
              <w:spacing w:after="0" w:line="280" w:lineRule="exact"/>
              <w:rPr>
                <w:rFonts w:ascii="宋体" w:eastAsia="宋体" w:hAnsi="宋体"/>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12" w:author="秦杭" w:date="2018-11-12T15:03:00Z">
                  <w:rPr/>
                </w:rPrChange>
              </w:rPr>
            </w:pPr>
          </w:p>
        </w:tc>
      </w:tr>
      <w:tr w:rsidR="00C40BEF">
        <w:trPr>
          <w:trHeight w:val="677"/>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8</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信息填报</w:t>
            </w:r>
          </w:p>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质量</w:t>
            </w:r>
          </w:p>
        </w:tc>
        <w:tc>
          <w:tcPr>
            <w:tcW w:w="5392" w:type="dxa"/>
            <w:vAlign w:val="center"/>
          </w:tcPr>
          <w:p w:rsidR="00C40BEF" w:rsidRDefault="003570E3">
            <w:pPr>
              <w:widowControl w:val="0"/>
              <w:snapToGrid/>
              <w:spacing w:after="0"/>
              <w:rPr>
                <w:rFonts w:ascii="宋体" w:eastAsia="宋体" w:hAnsi="宋体" w:cs="Arial"/>
                <w:sz w:val="21"/>
                <w:szCs w:val="21"/>
              </w:rPr>
            </w:pPr>
            <w:r>
              <w:rPr>
                <w:rFonts w:ascii="宋体" w:eastAsia="宋体" w:hAnsi="宋体" w:cs="Arial" w:hint="eastAsia"/>
                <w:sz w:val="21"/>
                <w:szCs w:val="21"/>
              </w:rPr>
              <w:t>信息不准确-1分/项；存在弄虚作假-2分/项；</w:t>
            </w:r>
            <w:r>
              <w:rPr>
                <w:rFonts w:ascii="宋体" w:eastAsia="宋体" w:hAnsi="宋体" w:hint="eastAsia"/>
                <w:sz w:val="21"/>
                <w:szCs w:val="21"/>
              </w:rPr>
              <w:t>情节严重的按照失信行为严重标准扣-20分</w:t>
            </w:r>
            <w:r>
              <w:rPr>
                <w:rFonts w:ascii="宋体" w:eastAsia="宋体" w:hAnsi="宋体" w:cs="Arial" w:hint="eastAsia"/>
                <w:sz w:val="21"/>
                <w:szCs w:val="21"/>
              </w:rPr>
              <w:t>。</w:t>
            </w:r>
          </w:p>
        </w:tc>
        <w:tc>
          <w:tcPr>
            <w:tcW w:w="1412" w:type="dxa"/>
          </w:tcPr>
          <w:p w:rsidR="00C40BEF" w:rsidRDefault="00C40BEF">
            <w:pPr>
              <w:widowControl w:val="0"/>
              <w:snapToGrid/>
              <w:spacing w:after="0" w:line="280" w:lineRule="exact"/>
              <w:jc w:val="both"/>
              <w:rPr>
                <w:rFonts w:ascii="宋体" w:eastAsia="宋体" w:hAnsi="宋体"/>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13" w:author="秦杭" w:date="2018-11-12T15:03:00Z">
                  <w:rPr/>
                </w:rPrChange>
              </w:rPr>
            </w:pPr>
          </w:p>
        </w:tc>
      </w:tr>
      <w:tr w:rsidR="00C40BEF">
        <w:trPr>
          <w:trHeight w:val="685"/>
        </w:trPr>
        <w:tc>
          <w:tcPr>
            <w:tcW w:w="743" w:type="dxa"/>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9</w:t>
            </w:r>
          </w:p>
        </w:tc>
        <w:tc>
          <w:tcPr>
            <w:tcW w:w="1672" w:type="dxa"/>
            <w:gridSpan w:val="3"/>
            <w:vAlign w:val="center"/>
          </w:tcPr>
          <w:p w:rsidR="00C40BEF" w:rsidRDefault="003570E3">
            <w:pPr>
              <w:widowControl w:val="0"/>
              <w:snapToGrid/>
              <w:spacing w:after="0" w:line="280" w:lineRule="exact"/>
              <w:jc w:val="center"/>
              <w:rPr>
                <w:rFonts w:ascii="宋体" w:eastAsia="宋体" w:hAnsi="宋体"/>
                <w:sz w:val="21"/>
                <w:szCs w:val="21"/>
              </w:rPr>
            </w:pPr>
            <w:r>
              <w:rPr>
                <w:rFonts w:ascii="宋体" w:eastAsia="宋体" w:hAnsi="宋体" w:hint="eastAsia"/>
                <w:sz w:val="21"/>
                <w:szCs w:val="21"/>
              </w:rPr>
              <w:t>上一年底动态考评结果</w:t>
            </w:r>
          </w:p>
        </w:tc>
        <w:tc>
          <w:tcPr>
            <w:tcW w:w="5392" w:type="dxa"/>
            <w:vAlign w:val="center"/>
          </w:tcPr>
          <w:p w:rsidR="00C40BEF" w:rsidRDefault="003570E3">
            <w:pPr>
              <w:widowControl w:val="0"/>
              <w:snapToGrid/>
              <w:spacing w:after="0" w:line="280" w:lineRule="exact"/>
              <w:rPr>
                <w:rFonts w:ascii="宋体" w:eastAsia="宋体" w:hAnsi="宋体"/>
                <w:sz w:val="21"/>
                <w:szCs w:val="21"/>
              </w:rPr>
            </w:pPr>
            <w:r>
              <w:rPr>
                <w:rStyle w:val="aa"/>
                <w:rFonts w:ascii="宋体" w:eastAsia="宋体" w:hAnsi="宋体" w:cs="宋体"/>
                <w:sz w:val="21"/>
                <w:szCs w:val="21"/>
                <w:lang w:val="zh-TW" w:eastAsia="zh-TW"/>
              </w:rPr>
              <w:t>上一年度的动态考评</w:t>
            </w:r>
            <w:r>
              <w:rPr>
                <w:rStyle w:val="aa"/>
                <w:rFonts w:ascii="宋体" w:eastAsia="宋体" w:hAnsi="宋体" w:cs="宋体"/>
                <w:sz w:val="21"/>
                <w:szCs w:val="21"/>
                <w:lang w:val="zh-TW"/>
              </w:rPr>
              <w:t>扣</w:t>
            </w:r>
            <w:r>
              <w:rPr>
                <w:rStyle w:val="aa"/>
                <w:rFonts w:ascii="宋体" w:eastAsia="宋体" w:hAnsi="宋体" w:cs="宋体"/>
                <w:sz w:val="21"/>
                <w:szCs w:val="21"/>
                <w:lang w:val="zh-TW" w:eastAsia="zh-TW"/>
              </w:rPr>
              <w:t>分</w:t>
            </w:r>
            <w:r>
              <w:rPr>
                <w:rStyle w:val="aa"/>
                <w:rFonts w:ascii="宋体" w:eastAsia="宋体" w:hAnsi="宋体" w:cs="宋体"/>
                <w:sz w:val="21"/>
                <w:szCs w:val="21"/>
              </w:rPr>
              <w:t>×5%</w:t>
            </w:r>
          </w:p>
        </w:tc>
        <w:tc>
          <w:tcPr>
            <w:tcW w:w="1412" w:type="dxa"/>
            <w:vAlign w:val="center"/>
          </w:tcPr>
          <w:p w:rsidR="00C40BEF" w:rsidRDefault="00C40BEF">
            <w:pPr>
              <w:widowControl w:val="0"/>
              <w:snapToGrid/>
              <w:spacing w:after="0" w:line="280" w:lineRule="exact"/>
              <w:jc w:val="center"/>
              <w:rPr>
                <w:rFonts w:ascii="宋体" w:eastAsia="宋体" w:hAnsi="宋体"/>
                <w:sz w:val="21"/>
                <w:szCs w:val="21"/>
              </w:rPr>
            </w:pPr>
          </w:p>
        </w:tc>
        <w:tc>
          <w:tcPr>
            <w:tcW w:w="986" w:type="dxa"/>
            <w:vMerge/>
            <w:vAlign w:val="center"/>
          </w:tcPr>
          <w:p w:rsidR="00C40BEF" w:rsidRPr="00C40BEF" w:rsidRDefault="00C40BEF">
            <w:pPr>
              <w:widowControl w:val="0"/>
              <w:snapToGrid/>
              <w:spacing w:after="0" w:line="280" w:lineRule="exact"/>
              <w:jc w:val="center"/>
              <w:rPr>
                <w:rFonts w:ascii="宋体" w:eastAsia="宋体" w:hAnsi="宋体"/>
                <w:sz w:val="21"/>
                <w:szCs w:val="21"/>
                <w:rPrChange w:id="14" w:author="秦杭" w:date="2018-11-12T15:03:00Z">
                  <w:rPr/>
                </w:rPrChange>
              </w:rPr>
            </w:pPr>
          </w:p>
        </w:tc>
      </w:tr>
      <w:tr w:rsidR="00C40BEF">
        <w:trPr>
          <w:trHeight w:val="765"/>
        </w:trPr>
        <w:tc>
          <w:tcPr>
            <w:tcW w:w="749" w:type="dxa"/>
            <w:gridSpan w:val="2"/>
            <w:vAlign w:val="center"/>
          </w:tcPr>
          <w:p w:rsidR="00C40BEF" w:rsidRDefault="003570E3">
            <w:pPr>
              <w:widowControl w:val="0"/>
              <w:snapToGrid/>
              <w:spacing w:after="0" w:line="320" w:lineRule="exact"/>
              <w:jc w:val="center"/>
              <w:rPr>
                <w:rFonts w:ascii="宋体" w:eastAsia="宋体" w:hAnsi="宋体"/>
                <w:sz w:val="21"/>
                <w:szCs w:val="21"/>
              </w:rPr>
            </w:pPr>
            <w:r>
              <w:rPr>
                <w:rFonts w:ascii="宋体" w:eastAsia="宋体" w:hAnsi="宋体" w:hint="eastAsia"/>
                <w:sz w:val="21"/>
                <w:szCs w:val="21"/>
              </w:rPr>
              <w:t>10</w:t>
            </w:r>
          </w:p>
        </w:tc>
        <w:tc>
          <w:tcPr>
            <w:tcW w:w="1666" w:type="dxa"/>
            <w:gridSpan w:val="2"/>
            <w:vAlign w:val="center"/>
          </w:tcPr>
          <w:p w:rsidR="00C40BEF" w:rsidRDefault="003570E3">
            <w:pPr>
              <w:widowControl w:val="0"/>
              <w:snapToGrid/>
              <w:spacing w:after="0" w:line="320" w:lineRule="exact"/>
              <w:jc w:val="center"/>
              <w:rPr>
                <w:rFonts w:ascii="宋体" w:eastAsia="宋体" w:hAnsi="宋体"/>
                <w:sz w:val="21"/>
                <w:szCs w:val="21"/>
              </w:rPr>
            </w:pPr>
            <w:r>
              <w:rPr>
                <w:rFonts w:ascii="宋体" w:eastAsia="宋体" w:hAnsi="宋体" w:hint="eastAsia"/>
                <w:sz w:val="21"/>
                <w:szCs w:val="21"/>
              </w:rPr>
              <w:t>总分</w:t>
            </w:r>
          </w:p>
        </w:tc>
        <w:tc>
          <w:tcPr>
            <w:tcW w:w="7790" w:type="dxa"/>
            <w:gridSpan w:val="3"/>
          </w:tcPr>
          <w:p w:rsidR="00C40BEF" w:rsidRDefault="00C40BEF">
            <w:pPr>
              <w:widowControl w:val="0"/>
              <w:snapToGrid/>
              <w:spacing w:after="0" w:line="320" w:lineRule="exact"/>
              <w:rPr>
                <w:rFonts w:ascii="宋体" w:eastAsia="宋体" w:hAnsi="宋体"/>
                <w:sz w:val="21"/>
                <w:szCs w:val="21"/>
              </w:rPr>
            </w:pPr>
          </w:p>
        </w:tc>
      </w:tr>
    </w:tbl>
    <w:p w:rsidR="00C40BEF" w:rsidRDefault="00C40BEF">
      <w:pPr>
        <w:widowControl w:val="0"/>
        <w:snapToGrid/>
        <w:spacing w:after="0" w:line="320" w:lineRule="exact"/>
        <w:ind w:leftChars="287" w:left="925" w:hangingChars="140" w:hanging="294"/>
        <w:rPr>
          <w:rFonts w:ascii="宋体" w:eastAsia="宋体" w:hAnsi="宋体"/>
          <w:sz w:val="21"/>
          <w:szCs w:val="21"/>
        </w:rPr>
      </w:pPr>
    </w:p>
    <w:p w:rsidR="00C40BEF" w:rsidRDefault="003570E3">
      <w:pPr>
        <w:rPr>
          <w:rFonts w:ascii="黑体" w:eastAsia="黑体" w:hAnsi="黑体" w:cs="Arial"/>
          <w:sz w:val="32"/>
          <w:szCs w:val="32"/>
        </w:rPr>
      </w:pPr>
      <w:r>
        <w:rPr>
          <w:rFonts w:ascii="宋体" w:eastAsia="宋体" w:hAnsi="宋体"/>
          <w:sz w:val="21"/>
          <w:szCs w:val="21"/>
        </w:rPr>
        <w:br w:type="page"/>
      </w:r>
      <w:r>
        <w:rPr>
          <w:rFonts w:ascii="黑体" w:eastAsia="黑体" w:hAnsi="黑体" w:cs="Arial" w:hint="eastAsia"/>
          <w:sz w:val="32"/>
          <w:szCs w:val="32"/>
        </w:rPr>
        <w:lastRenderedPageBreak/>
        <w:t>附件3</w:t>
      </w:r>
    </w:p>
    <w:p w:rsidR="00C40BEF" w:rsidRDefault="003570E3">
      <w:pPr>
        <w:spacing w:after="0"/>
        <w:jc w:val="center"/>
        <w:rPr>
          <w:rFonts w:ascii="方正小标宋简体" w:eastAsia="方正小标宋简体" w:hAnsi="宋体"/>
          <w:sz w:val="44"/>
          <w:szCs w:val="44"/>
        </w:rPr>
      </w:pPr>
      <w:r>
        <w:rPr>
          <w:rFonts w:ascii="方正小标宋简体" w:eastAsia="方正小标宋简体" w:hAnsi="宋体" w:hint="eastAsia"/>
          <w:sz w:val="44"/>
          <w:szCs w:val="44"/>
        </w:rPr>
        <w:t>日常业务缺陷扣分标准</w:t>
      </w:r>
    </w:p>
    <w:tbl>
      <w:tblPr>
        <w:tblStyle w:val="TableNormal"/>
        <w:tblpPr w:leftFromText="180" w:rightFromText="180" w:vertAnchor="text" w:horzAnchor="margin" w:tblpXSpec="center" w:tblpY="525"/>
        <w:tblW w:w="9781"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18"/>
        <w:gridCol w:w="687"/>
        <w:gridCol w:w="6906"/>
        <w:gridCol w:w="970"/>
      </w:tblGrid>
      <w:tr w:rsidR="00C40BEF">
        <w:trPr>
          <w:trHeight w:val="690"/>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b/>
                <w:bCs/>
                <w:color w:val="auto"/>
                <w:sz w:val="24"/>
                <w:szCs w:val="24"/>
                <w:lang w:val="zh-TW" w:eastAsia="zh-TW"/>
              </w:rPr>
              <w:t>招标阶段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b/>
                <w:bCs/>
                <w:color w:val="auto"/>
                <w:sz w:val="24"/>
                <w:szCs w:val="24"/>
                <w:lang w:val="zh-TW" w:eastAsia="zh-TW"/>
              </w:rPr>
              <w:t>序号</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b/>
                <w:bCs/>
                <w:color w:val="auto"/>
                <w:sz w:val="24"/>
                <w:szCs w:val="24"/>
                <w:lang w:val="zh-TW" w:eastAsia="zh-TW"/>
              </w:rPr>
              <w:t>业务考核扣分示例</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b/>
                <w:bCs/>
                <w:color w:val="auto"/>
                <w:sz w:val="24"/>
                <w:szCs w:val="24"/>
                <w:lang w:val="zh-TW" w:eastAsia="zh-TW"/>
              </w:rPr>
              <w:t>扣分</w:t>
            </w:r>
          </w:p>
        </w:tc>
      </w:tr>
      <w:tr w:rsidR="00C40BEF">
        <w:trPr>
          <w:trHeight w:val="613"/>
        </w:trPr>
        <w:tc>
          <w:tcPr>
            <w:tcW w:w="1218"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所有阶段</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招标代理机构备案材料不符合要求，被退回修改的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0.1</w:t>
            </w:r>
          </w:p>
        </w:tc>
      </w:tr>
      <w:tr w:rsidR="00C40BEF">
        <w:trPr>
          <w:trHeight w:val="537"/>
        </w:trPr>
        <w:tc>
          <w:tcPr>
            <w:tcW w:w="1218" w:type="dxa"/>
            <w:vMerge/>
            <w:tcBorders>
              <w:left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项目代理业务操作时，</w:t>
            </w:r>
            <w:r>
              <w:rPr>
                <w:rStyle w:val="aa"/>
                <w:rFonts w:ascii="宋体" w:eastAsia="宋体" w:hAnsi="宋体" w:cs="宋体"/>
                <w:color w:val="auto"/>
                <w:sz w:val="24"/>
                <w:szCs w:val="24"/>
                <w:lang w:val="zh-TW"/>
              </w:rPr>
              <w:t>代理</w:t>
            </w:r>
            <w:r>
              <w:rPr>
                <w:rStyle w:val="aa"/>
                <w:rFonts w:ascii="宋体" w:eastAsia="宋体" w:hAnsi="宋体" w:cs="宋体"/>
                <w:color w:val="auto"/>
                <w:sz w:val="24"/>
                <w:szCs w:val="24"/>
                <w:lang w:val="zh-TW" w:eastAsia="zh-TW"/>
              </w:rPr>
              <w:t>人员未佩戴</w:t>
            </w:r>
            <w:r>
              <w:rPr>
                <w:rStyle w:val="aa"/>
                <w:rFonts w:ascii="宋体" w:eastAsia="宋体" w:hAnsi="宋体" w:cs="宋体"/>
                <w:color w:val="auto"/>
                <w:sz w:val="24"/>
                <w:szCs w:val="24"/>
                <w:lang w:val="zh-TW"/>
              </w:rPr>
              <w:t>工作牌</w:t>
            </w:r>
            <w:r>
              <w:rPr>
                <w:rStyle w:val="aa"/>
                <w:rFonts w:ascii="宋体" w:eastAsia="宋体" w:hAnsi="宋体" w:cs="宋体"/>
                <w:color w:val="auto"/>
                <w:sz w:val="24"/>
                <w:szCs w:val="24"/>
                <w:lang w:val="zh-TW" w:eastAsia="zh-TW"/>
              </w:rPr>
              <w:t>等身份标识的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0.1</w:t>
            </w:r>
          </w:p>
        </w:tc>
      </w:tr>
      <w:tr w:rsidR="00C40BEF">
        <w:trPr>
          <w:trHeight w:val="626"/>
        </w:trPr>
        <w:tc>
          <w:tcPr>
            <w:tcW w:w="1218" w:type="dxa"/>
            <w:vMerge/>
            <w:tcBorders>
              <w:left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项目代理业务操作</w:t>
            </w:r>
            <w:r>
              <w:rPr>
                <w:rStyle w:val="aa"/>
                <w:rFonts w:ascii="宋体" w:eastAsia="宋体" w:hAnsi="宋体" w:cs="宋体"/>
                <w:color w:val="auto"/>
                <w:sz w:val="24"/>
                <w:szCs w:val="24"/>
                <w:lang w:val="zh-TW"/>
              </w:rPr>
              <w:t>时代理</w:t>
            </w:r>
            <w:r>
              <w:rPr>
                <w:rStyle w:val="aa"/>
                <w:rFonts w:ascii="宋体" w:eastAsia="宋体" w:hAnsi="宋体" w:cs="宋体"/>
                <w:color w:val="auto"/>
                <w:sz w:val="24"/>
                <w:szCs w:val="24"/>
                <w:lang w:val="zh-TW" w:eastAsia="zh-TW"/>
              </w:rPr>
              <w:t>人员与备案的项目组人员不一致的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0.3</w:t>
            </w:r>
          </w:p>
        </w:tc>
      </w:tr>
      <w:tr w:rsidR="00C40BEF">
        <w:trPr>
          <w:trHeight w:val="1103"/>
        </w:trPr>
        <w:tc>
          <w:tcPr>
            <w:tcW w:w="1218" w:type="dxa"/>
            <w:vMerge/>
            <w:tcBorders>
              <w:left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因招标代理机构原因导致重新招标</w:t>
            </w:r>
            <w:r>
              <w:rPr>
                <w:rStyle w:val="aa"/>
                <w:rFonts w:ascii="宋体" w:eastAsia="宋体" w:hAnsi="宋体" w:cs="宋体"/>
                <w:color w:val="auto"/>
                <w:sz w:val="24"/>
                <w:szCs w:val="24"/>
                <w:lang w:val="zh-TW"/>
              </w:rPr>
              <w:t>或重新评标</w:t>
            </w:r>
            <w:r>
              <w:rPr>
                <w:rStyle w:val="aa"/>
                <w:rFonts w:ascii="宋体" w:eastAsia="宋体" w:hAnsi="宋体" w:cs="宋体"/>
                <w:color w:val="auto"/>
                <w:sz w:val="24"/>
                <w:szCs w:val="24"/>
                <w:lang w:val="zh-TW" w:eastAsia="zh-TW"/>
              </w:rPr>
              <w:t>的；或因招标代理机构原因导致投诉的；或未协助招标人及时、认真处理异议的；或未协助招投标监管机构及时、认真处理投诉的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715"/>
        </w:trPr>
        <w:tc>
          <w:tcPr>
            <w:tcW w:w="1218" w:type="dxa"/>
            <w:vMerge/>
            <w:tcBorders>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Style w:val="aa"/>
                <w:rFonts w:ascii="宋体" w:eastAsia="宋体" w:hAnsi="宋体" w:cs="宋体" w:hint="default"/>
                <w:color w:val="auto"/>
                <w:sz w:val="24"/>
                <w:szCs w:val="24"/>
              </w:rPr>
            </w:pPr>
            <w:r>
              <w:rPr>
                <w:rStyle w:val="aa"/>
                <w:rFonts w:ascii="宋体" w:eastAsia="宋体" w:hAnsi="宋体" w:cs="宋体" w:hint="default"/>
                <w:color w:val="auto"/>
                <w:sz w:val="24"/>
                <w:szCs w:val="24"/>
              </w:rPr>
              <w:t>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lang w:val="zh-TW" w:eastAsia="zh-TW"/>
              </w:rPr>
            </w:pPr>
            <w:r>
              <w:rPr>
                <w:rStyle w:val="aa"/>
                <w:rFonts w:ascii="宋体" w:eastAsia="宋体" w:hAnsi="宋体" w:cs="宋体"/>
                <w:color w:val="auto"/>
                <w:sz w:val="24"/>
                <w:szCs w:val="24"/>
                <w:lang w:eastAsia="zh-TW"/>
              </w:rPr>
              <w:t>招标代理机构向中标人收取招标文件工本费以外的其他费用的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rPr>
            </w:pPr>
            <w:r>
              <w:rPr>
                <w:rStyle w:val="aa"/>
                <w:rFonts w:ascii="宋体" w:eastAsia="宋体" w:hAnsi="宋体" w:cs="宋体"/>
                <w:color w:val="auto"/>
                <w:sz w:val="24"/>
                <w:szCs w:val="24"/>
              </w:rPr>
              <w:t>0.5</w:t>
            </w:r>
          </w:p>
        </w:tc>
      </w:tr>
      <w:tr w:rsidR="00C40BEF">
        <w:trPr>
          <w:trHeight w:val="715"/>
        </w:trPr>
        <w:tc>
          <w:tcPr>
            <w:tcW w:w="1218" w:type="dxa"/>
            <w:tcBorders>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Style w:val="aa"/>
                <w:rFonts w:ascii="宋体" w:eastAsia="宋体" w:hAnsi="宋体" w:cs="宋体" w:hint="default"/>
                <w:color w:val="auto"/>
                <w:sz w:val="24"/>
                <w:szCs w:val="24"/>
              </w:rPr>
            </w:pPr>
            <w:r>
              <w:rPr>
                <w:rStyle w:val="aa"/>
                <w:rFonts w:ascii="宋体" w:eastAsia="宋体" w:hAnsi="宋体" w:cs="宋体"/>
                <w:color w:val="auto"/>
                <w:sz w:val="24"/>
                <w:szCs w:val="24"/>
              </w:rPr>
              <w:t>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rPr>
            </w:pPr>
            <w:r>
              <w:rPr>
                <w:rStyle w:val="aa"/>
                <w:rFonts w:ascii="宋体" w:eastAsia="宋体" w:hAnsi="宋体" w:cs="宋体"/>
                <w:color w:val="auto"/>
                <w:sz w:val="24"/>
                <w:szCs w:val="24"/>
              </w:rPr>
              <w:t>所有违反关于招标人的相关规定的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rPr>
            </w:pPr>
            <w:r>
              <w:rPr>
                <w:rStyle w:val="aa"/>
                <w:rFonts w:ascii="宋体" w:eastAsia="宋体" w:hAnsi="宋体" w:cs="宋体"/>
                <w:color w:val="auto"/>
                <w:sz w:val="24"/>
                <w:szCs w:val="24"/>
              </w:rPr>
              <w:t>0.1-0.5</w:t>
            </w:r>
          </w:p>
        </w:tc>
      </w:tr>
      <w:tr w:rsidR="00C40BEF">
        <w:trPr>
          <w:trHeight w:val="598"/>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jc w:val="center"/>
              <w:rPr>
                <w:rStyle w:val="aa"/>
                <w:rFonts w:ascii="宋体" w:eastAsia="宋体" w:hAnsi="宋体" w:cs="宋体" w:hint="default"/>
                <w:color w:val="auto"/>
                <w:sz w:val="24"/>
                <w:szCs w:val="24"/>
              </w:rPr>
            </w:pPr>
            <w:r>
              <w:rPr>
                <w:rStyle w:val="aa"/>
                <w:rFonts w:ascii="宋体" w:eastAsia="宋体" w:hAnsi="宋体" w:cs="宋体"/>
                <w:color w:val="auto"/>
                <w:sz w:val="24"/>
                <w:szCs w:val="24"/>
                <w:lang w:val="zh-TW" w:eastAsia="zh-TW"/>
              </w:rPr>
              <w:t>代理合同</w:t>
            </w:r>
          </w:p>
          <w:p w:rsidR="00C40BEF" w:rsidRDefault="003570E3">
            <w:pPr>
              <w:pStyle w:val="A0"/>
              <w:widowControl/>
              <w:jc w:val="center"/>
              <w:rPr>
                <w:rFonts w:ascii="宋体" w:eastAsia="宋体" w:hAnsi="宋体" w:hint="default"/>
                <w:color w:val="auto"/>
              </w:rPr>
            </w:pPr>
            <w:r>
              <w:rPr>
                <w:rStyle w:val="aa"/>
                <w:rFonts w:ascii="宋体" w:eastAsia="宋体" w:hAnsi="宋体" w:cs="宋体"/>
                <w:color w:val="auto"/>
                <w:sz w:val="24"/>
                <w:szCs w:val="24"/>
                <w:lang w:val="zh-TW" w:eastAsia="zh-TW"/>
              </w:rPr>
              <w:t>备案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rPr>
              <w:t>招标</w:t>
            </w:r>
            <w:r>
              <w:rPr>
                <w:rStyle w:val="aa"/>
                <w:rFonts w:ascii="宋体" w:eastAsia="宋体" w:hAnsi="宋体" w:cs="宋体"/>
                <w:color w:val="auto"/>
                <w:sz w:val="24"/>
                <w:szCs w:val="24"/>
                <w:lang w:val="zh-TW" w:eastAsia="zh-TW"/>
              </w:rPr>
              <w:t>代理</w:t>
            </w:r>
            <w:r>
              <w:rPr>
                <w:rStyle w:val="aa"/>
                <w:rFonts w:ascii="宋体" w:eastAsia="宋体" w:hAnsi="宋体" w:cs="宋体"/>
                <w:color w:val="auto"/>
                <w:sz w:val="24"/>
                <w:szCs w:val="24"/>
                <w:lang w:val="zh-TW"/>
              </w:rPr>
              <w:t>委托</w:t>
            </w:r>
            <w:r>
              <w:rPr>
                <w:rStyle w:val="aa"/>
                <w:rFonts w:ascii="宋体" w:eastAsia="宋体" w:hAnsi="宋体" w:cs="宋体"/>
                <w:color w:val="auto"/>
                <w:sz w:val="24"/>
                <w:szCs w:val="24"/>
                <w:lang w:val="zh-TW" w:eastAsia="zh-TW"/>
              </w:rPr>
              <w:t>合同</w:t>
            </w:r>
            <w:r>
              <w:rPr>
                <w:rStyle w:val="aa"/>
                <w:rFonts w:ascii="宋体" w:eastAsia="宋体" w:hAnsi="宋体" w:cs="宋体"/>
                <w:color w:val="auto"/>
                <w:sz w:val="24"/>
                <w:szCs w:val="24"/>
                <w:lang w:val="zh-TW"/>
              </w:rPr>
              <w:t>内容</w:t>
            </w:r>
            <w:r>
              <w:rPr>
                <w:rStyle w:val="aa"/>
                <w:rFonts w:ascii="宋体" w:eastAsia="宋体" w:hAnsi="宋体" w:cs="宋体"/>
                <w:color w:val="auto"/>
                <w:sz w:val="24"/>
                <w:szCs w:val="24"/>
                <w:lang w:val="zh-TW" w:eastAsia="zh-TW"/>
              </w:rPr>
              <w:t>填写不完整</w:t>
            </w:r>
            <w:r>
              <w:rPr>
                <w:rStyle w:val="aa"/>
                <w:rFonts w:ascii="宋体" w:eastAsia="宋体" w:hAnsi="宋体" w:cs="宋体"/>
                <w:color w:val="auto"/>
                <w:sz w:val="24"/>
                <w:szCs w:val="24"/>
                <w:lang w:val="zh-TW"/>
              </w:rPr>
              <w:t>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883"/>
        </w:trPr>
        <w:tc>
          <w:tcPr>
            <w:tcW w:w="12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Style w:val="aa"/>
                <w:rFonts w:ascii="宋体" w:eastAsia="宋体" w:hAnsi="宋体" w:cs="宋体" w:hint="default"/>
                <w:color w:val="auto"/>
                <w:sz w:val="24"/>
                <w:szCs w:val="24"/>
              </w:rPr>
            </w:pPr>
            <w:r>
              <w:rPr>
                <w:rStyle w:val="aa"/>
                <w:rFonts w:ascii="宋体" w:eastAsia="宋体" w:hAnsi="宋体" w:cs="宋体"/>
                <w:color w:val="auto"/>
                <w:sz w:val="24"/>
                <w:szCs w:val="24"/>
                <w:lang w:val="zh-TW" w:eastAsia="zh-TW"/>
              </w:rPr>
              <w:t>初步发包</w:t>
            </w:r>
          </w:p>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方案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工程规模、投资总额、发包内容、合同估算价等关键内容</w:t>
            </w:r>
            <w:r>
              <w:rPr>
                <w:rStyle w:val="aa"/>
                <w:rFonts w:ascii="宋体" w:eastAsia="宋体" w:hAnsi="宋体" w:cs="宋体"/>
                <w:color w:val="auto"/>
                <w:sz w:val="24"/>
                <w:szCs w:val="24"/>
                <w:lang w:val="zh-TW"/>
              </w:rPr>
              <w:t>未填写或</w:t>
            </w:r>
            <w:r>
              <w:rPr>
                <w:rStyle w:val="aa"/>
                <w:rFonts w:ascii="宋体" w:eastAsia="宋体" w:hAnsi="宋体" w:cs="宋体"/>
                <w:color w:val="auto"/>
                <w:sz w:val="24"/>
                <w:szCs w:val="24"/>
                <w:lang w:val="zh-TW" w:eastAsia="zh-TW"/>
              </w:rPr>
              <w:t>填写错误的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614"/>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公告发布</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公告发布前，招标代理机构未进行标前现场勘查的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10</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工程名称、标段名称、招标内容等关键内容填</w:t>
            </w:r>
            <w:r>
              <w:rPr>
                <w:rStyle w:val="aa"/>
                <w:rFonts w:ascii="宋体" w:eastAsia="宋体" w:hAnsi="宋体" w:cs="宋体"/>
                <w:color w:val="auto"/>
                <w:sz w:val="24"/>
                <w:szCs w:val="24"/>
                <w:lang w:val="zh-TW"/>
              </w:rPr>
              <w:t>写</w:t>
            </w:r>
            <w:r>
              <w:rPr>
                <w:rStyle w:val="aa"/>
                <w:rFonts w:ascii="宋体" w:eastAsia="宋体" w:hAnsi="宋体" w:cs="宋体"/>
                <w:color w:val="auto"/>
                <w:sz w:val="24"/>
                <w:szCs w:val="24"/>
                <w:lang w:val="zh-TW" w:eastAsia="zh-TW"/>
              </w:rPr>
              <w:t>错</w:t>
            </w:r>
            <w:r>
              <w:rPr>
                <w:rStyle w:val="aa"/>
                <w:rFonts w:ascii="宋体" w:eastAsia="宋体" w:hAnsi="宋体" w:cs="宋体"/>
                <w:color w:val="auto"/>
                <w:sz w:val="24"/>
                <w:szCs w:val="24"/>
                <w:lang w:val="zh-TW"/>
              </w:rPr>
              <w:t>误</w:t>
            </w:r>
            <w:r>
              <w:rPr>
                <w:rStyle w:val="aa"/>
                <w:rFonts w:ascii="宋体" w:eastAsia="宋体" w:hAnsi="宋体" w:cs="宋体"/>
                <w:color w:val="auto"/>
                <w:sz w:val="24"/>
                <w:szCs w:val="24"/>
                <w:lang w:val="zh-TW" w:eastAsia="zh-TW"/>
              </w:rPr>
              <w:t>；或公告内容不全的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0.3</w:t>
            </w:r>
          </w:p>
        </w:tc>
      </w:tr>
      <w:tr w:rsidR="00C40BEF">
        <w:trPr>
          <w:trHeight w:val="609"/>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公告内容前后矛盾导致歧义；或存在违法违规条款的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45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资格预审</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未按规定组织资格预审的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616"/>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资格预审结果未按规定公示的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903"/>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Style w:val="aa"/>
                <w:rFonts w:ascii="宋体" w:eastAsia="宋体" w:hAnsi="宋体" w:cs="宋体" w:hint="default"/>
                <w:color w:val="auto"/>
                <w:sz w:val="24"/>
                <w:szCs w:val="24"/>
              </w:rPr>
            </w:pPr>
            <w:r>
              <w:rPr>
                <w:rStyle w:val="aa"/>
                <w:rFonts w:ascii="宋体" w:eastAsia="宋体" w:hAnsi="宋体" w:cs="宋体"/>
                <w:color w:val="auto"/>
                <w:sz w:val="24"/>
                <w:szCs w:val="24"/>
                <w:lang w:val="zh-TW" w:eastAsia="zh-TW"/>
              </w:rPr>
              <w:lastRenderedPageBreak/>
              <w:t>招标文件</w:t>
            </w:r>
          </w:p>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备案</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由于招标代理机构的原因，资格预审文件、招标文件、澄清或修改备案不及时；或招标控制价未按规定时间发布的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对标准（示范）招标文件的固定条款修改在备案时不事先作出说明的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690"/>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招标文件及其澄清或修改存在前后内容不一致、条款相互矛盾，或存在其他违法违规条款的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88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招标文件中资格审查条件、评标办法内容与招标公告内容不一致；发出的招标文件与备案的招标文件不一致的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57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Style w:val="aa"/>
                <w:rFonts w:ascii="宋体" w:eastAsia="宋体" w:hAnsi="宋体" w:cs="宋体" w:hint="default"/>
                <w:color w:val="auto"/>
                <w:sz w:val="24"/>
                <w:szCs w:val="24"/>
              </w:rPr>
            </w:pPr>
            <w:r>
              <w:rPr>
                <w:rStyle w:val="aa"/>
                <w:rFonts w:ascii="宋体" w:eastAsia="宋体" w:hAnsi="宋体" w:cs="宋体"/>
                <w:color w:val="auto"/>
                <w:sz w:val="24"/>
                <w:szCs w:val="24"/>
              </w:rPr>
              <w:t>18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lang w:val="zh-TW"/>
              </w:rPr>
            </w:pPr>
            <w:r>
              <w:rPr>
                <w:rStyle w:val="aa"/>
                <w:rFonts w:ascii="宋体" w:eastAsia="宋体" w:hAnsi="宋体" w:cs="宋体"/>
                <w:color w:val="auto"/>
                <w:sz w:val="24"/>
                <w:szCs w:val="24"/>
                <w:lang w:val="zh-TW"/>
              </w:rPr>
              <w:t>编制的清单有漏量、漏项的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rPr>
            </w:pPr>
            <w:r>
              <w:rPr>
                <w:rStyle w:val="aa"/>
                <w:rFonts w:ascii="宋体" w:eastAsia="宋体" w:hAnsi="宋体" w:cs="宋体"/>
                <w:color w:val="auto"/>
                <w:sz w:val="24"/>
                <w:szCs w:val="24"/>
              </w:rPr>
              <w:t>0.1/条</w:t>
            </w:r>
          </w:p>
        </w:tc>
      </w:tr>
      <w:tr w:rsidR="00C40BEF">
        <w:trPr>
          <w:trHeight w:val="542"/>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开标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19</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代理人员未在开标前</w:t>
            </w:r>
            <w:r>
              <w:rPr>
                <w:rStyle w:val="aa"/>
                <w:rFonts w:ascii="宋体" w:eastAsia="宋体" w:hAnsi="宋体" w:cs="宋体"/>
                <w:color w:val="auto"/>
                <w:sz w:val="24"/>
                <w:szCs w:val="24"/>
              </w:rPr>
              <w:t>15</w:t>
            </w:r>
            <w:r>
              <w:rPr>
                <w:rStyle w:val="aa"/>
                <w:rFonts w:ascii="宋体" w:eastAsia="宋体" w:hAnsi="宋体" w:cs="宋体"/>
                <w:color w:val="auto"/>
                <w:sz w:val="24"/>
                <w:szCs w:val="24"/>
                <w:lang w:val="zh-TW" w:eastAsia="zh-TW"/>
              </w:rPr>
              <w:t>分钟进入开标室做好开标前准备工作的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0.1</w:t>
            </w:r>
          </w:p>
        </w:tc>
      </w:tr>
      <w:tr w:rsidR="00C40BEF">
        <w:trPr>
          <w:trHeight w:val="397"/>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20</w:t>
            </w:r>
          </w:p>
        </w:tc>
        <w:tc>
          <w:tcPr>
            <w:tcW w:w="69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代理项目组组长没有到场组织开标活动的</w:t>
            </w:r>
          </w:p>
        </w:tc>
        <w:tc>
          <w:tcPr>
            <w:tcW w:w="970"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0.3</w:t>
            </w:r>
          </w:p>
        </w:tc>
      </w:tr>
      <w:tr w:rsidR="00C40BEF">
        <w:trPr>
          <w:trHeight w:val="7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21</w:t>
            </w:r>
          </w:p>
        </w:tc>
        <w:tc>
          <w:tcPr>
            <w:tcW w:w="69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代理人员没有如实</w:t>
            </w:r>
            <w:r>
              <w:rPr>
                <w:rStyle w:val="aa"/>
                <w:rFonts w:ascii="宋体" w:eastAsia="宋体" w:hAnsi="宋体" w:cs="宋体"/>
                <w:color w:val="auto"/>
                <w:sz w:val="24"/>
                <w:szCs w:val="24"/>
                <w:lang w:val="zh-TW"/>
              </w:rPr>
              <w:t>记</w:t>
            </w:r>
            <w:r>
              <w:rPr>
                <w:rStyle w:val="aa"/>
                <w:rFonts w:ascii="宋体" w:eastAsia="宋体" w:hAnsi="宋体" w:cs="宋体"/>
                <w:color w:val="auto"/>
                <w:sz w:val="24"/>
                <w:szCs w:val="24"/>
                <w:lang w:val="zh-TW" w:eastAsia="zh-TW"/>
              </w:rPr>
              <w:t>载投标文件的送达时间和密封情况（电子招投标不适用）；开标</w:t>
            </w:r>
            <w:r>
              <w:rPr>
                <w:rStyle w:val="aa"/>
                <w:rFonts w:ascii="宋体" w:eastAsia="宋体" w:hAnsi="宋体" w:cs="宋体"/>
                <w:color w:val="auto"/>
                <w:sz w:val="24"/>
                <w:szCs w:val="24"/>
                <w:lang w:val="zh-TW"/>
              </w:rPr>
              <w:t>记</w:t>
            </w:r>
            <w:r>
              <w:rPr>
                <w:rStyle w:val="aa"/>
                <w:rFonts w:ascii="宋体" w:eastAsia="宋体" w:hAnsi="宋体" w:cs="宋体"/>
                <w:color w:val="auto"/>
                <w:sz w:val="24"/>
                <w:szCs w:val="24"/>
                <w:lang w:val="zh-TW" w:eastAsia="zh-TW"/>
              </w:rPr>
              <w:t>录内容不完整、不准确的</w:t>
            </w:r>
          </w:p>
        </w:tc>
        <w:tc>
          <w:tcPr>
            <w:tcW w:w="97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468"/>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C40BEF">
            <w:pPr>
              <w:pStyle w:val="A0"/>
              <w:jc w:val="center"/>
              <w:rPr>
                <w:rStyle w:val="aa"/>
                <w:rFonts w:ascii="宋体" w:eastAsia="宋体" w:hAnsi="宋体" w:cs="宋体" w:hint="default"/>
                <w:color w:val="auto"/>
                <w:sz w:val="24"/>
                <w:szCs w:val="24"/>
              </w:rPr>
            </w:pPr>
          </w:p>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评标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招标人评委未按规定备案的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0.1</w:t>
            </w:r>
          </w:p>
        </w:tc>
      </w:tr>
      <w:tr w:rsidR="00C40BEF">
        <w:trPr>
          <w:trHeight w:val="468"/>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C40BEF">
            <w:pPr>
              <w:pStyle w:val="A0"/>
              <w:jc w:val="center"/>
              <w:rPr>
                <w:rStyle w:val="aa"/>
                <w:rFonts w:ascii="宋体" w:eastAsia="宋体" w:hAnsi="宋体" w:cs="宋体" w:hint="default"/>
                <w:color w:val="auto"/>
                <w:sz w:val="24"/>
                <w:szCs w:val="24"/>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Style w:val="aa"/>
                <w:rFonts w:ascii="宋体" w:eastAsia="宋体" w:hAnsi="宋体" w:cs="宋体" w:hint="default"/>
                <w:color w:val="auto"/>
                <w:sz w:val="24"/>
                <w:szCs w:val="24"/>
              </w:rPr>
            </w:pPr>
            <w:r>
              <w:rPr>
                <w:rStyle w:val="aa"/>
                <w:rFonts w:ascii="宋体" w:eastAsia="宋体" w:hAnsi="宋体" w:cs="宋体"/>
                <w:color w:val="auto"/>
                <w:sz w:val="24"/>
                <w:szCs w:val="24"/>
              </w:rPr>
              <w:t>23</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lang w:val="zh-TW"/>
              </w:rPr>
            </w:pPr>
            <w:r>
              <w:rPr>
                <w:rStyle w:val="aa"/>
                <w:rFonts w:ascii="宋体" w:eastAsia="宋体" w:hAnsi="宋体" w:cs="宋体"/>
                <w:color w:val="auto"/>
                <w:sz w:val="24"/>
                <w:szCs w:val="24"/>
                <w:lang w:val="zh-TW"/>
              </w:rPr>
              <w:t>未按要求进行招标人评标前准备工作的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color w:val="auto"/>
                <w:sz w:val="24"/>
                <w:szCs w:val="24"/>
              </w:rPr>
            </w:pPr>
            <w:r>
              <w:rPr>
                <w:rStyle w:val="aa"/>
                <w:rFonts w:ascii="宋体" w:eastAsia="宋体" w:hAnsi="宋体" w:cs="宋体"/>
                <w:color w:val="auto"/>
                <w:sz w:val="24"/>
                <w:szCs w:val="24"/>
              </w:rPr>
              <w:t>0.5</w:t>
            </w:r>
          </w:p>
        </w:tc>
      </w:tr>
      <w:tr w:rsidR="00C40BEF">
        <w:trPr>
          <w:trHeight w:val="441"/>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24</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评标结果资料收集整理不齐全的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0.3</w:t>
            </w:r>
          </w:p>
        </w:tc>
      </w:tr>
      <w:tr w:rsidR="00C40BEF">
        <w:trPr>
          <w:trHeight w:val="580"/>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中标</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25</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未按规定公示中标候选人情况、评标结果及拟定中标人名称的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394"/>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rPr>
              <w:t>26</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未按规定发布中标人公告的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0.2</w:t>
            </w:r>
          </w:p>
        </w:tc>
      </w:tr>
      <w:tr w:rsidR="00C40BEF">
        <w:trPr>
          <w:trHeight w:val="543"/>
        </w:trPr>
        <w:tc>
          <w:tcPr>
            <w:tcW w:w="1218" w:type="dxa"/>
            <w:vMerge/>
            <w:tcBorders>
              <w:top w:val="single" w:sz="4" w:space="0" w:color="000000"/>
              <w:left w:val="single" w:sz="4" w:space="0" w:color="000000"/>
              <w:bottom w:val="single" w:sz="4" w:space="0" w:color="000000"/>
              <w:right w:val="single" w:sz="4" w:space="0" w:color="000000"/>
            </w:tcBorders>
            <w:shd w:val="clear" w:color="auto" w:fill="FFFFFF"/>
          </w:tcPr>
          <w:p w:rsidR="00C40BEF" w:rsidRDefault="00C40BEF">
            <w:pPr>
              <w:rPr>
                <w:rFonts w:ascii="宋体" w:eastAsia="宋体" w:hAnsi="宋体"/>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ind w:firstLineChars="50" w:firstLine="120"/>
              <w:rPr>
                <w:rFonts w:ascii="宋体" w:eastAsia="宋体" w:hAnsi="宋体" w:hint="default"/>
                <w:color w:val="auto"/>
              </w:rPr>
            </w:pPr>
            <w:r>
              <w:rPr>
                <w:rStyle w:val="aa"/>
                <w:rFonts w:ascii="宋体" w:eastAsia="宋体" w:hAnsi="宋体" w:cs="宋体"/>
                <w:color w:val="auto"/>
                <w:sz w:val="24"/>
                <w:szCs w:val="24"/>
              </w:rPr>
              <w:t>27</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由招标代理机构办理的中标通知书内容与评标结果不一致的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0.5</w:t>
            </w:r>
          </w:p>
        </w:tc>
      </w:tr>
      <w:tr w:rsidR="00C40BEF">
        <w:trPr>
          <w:trHeight w:val="822"/>
        </w:trPr>
        <w:tc>
          <w:tcPr>
            <w:tcW w:w="1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jc w:val="center"/>
              <w:rPr>
                <w:rFonts w:ascii="宋体" w:eastAsia="宋体" w:hAnsi="宋体" w:hint="default"/>
                <w:color w:val="auto"/>
              </w:rPr>
            </w:pPr>
            <w:r>
              <w:rPr>
                <w:rStyle w:val="aa"/>
                <w:rFonts w:ascii="宋体" w:eastAsia="宋体" w:hAnsi="宋体" w:cs="宋体"/>
                <w:color w:val="auto"/>
                <w:sz w:val="24"/>
                <w:szCs w:val="24"/>
                <w:lang w:val="zh-TW" w:eastAsia="zh-TW"/>
              </w:rPr>
              <w:t>招标投标书面情况报告</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ind w:firstLineChars="50" w:firstLine="120"/>
              <w:rPr>
                <w:rFonts w:ascii="宋体" w:eastAsia="宋体" w:hAnsi="宋体" w:hint="default"/>
                <w:color w:val="auto"/>
              </w:rPr>
            </w:pPr>
            <w:r>
              <w:rPr>
                <w:rStyle w:val="aa"/>
                <w:rFonts w:ascii="宋体" w:eastAsia="宋体" w:hAnsi="宋体" w:cs="宋体"/>
                <w:color w:val="auto"/>
                <w:sz w:val="24"/>
                <w:szCs w:val="24"/>
              </w:rPr>
              <w:t>28</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lang w:val="zh-TW" w:eastAsia="zh-TW"/>
              </w:rPr>
              <w:t>招标投标情况书面报告备案不及时；或内容不完整、不真实的</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Fonts w:ascii="宋体" w:eastAsia="宋体" w:hAnsi="宋体" w:hint="default"/>
                <w:color w:val="auto"/>
              </w:rPr>
            </w:pPr>
            <w:r>
              <w:rPr>
                <w:rStyle w:val="aa"/>
                <w:rFonts w:ascii="宋体" w:eastAsia="宋体" w:hAnsi="宋体" w:cs="宋体"/>
                <w:color w:val="auto"/>
                <w:sz w:val="24"/>
                <w:szCs w:val="24"/>
              </w:rPr>
              <w:t>0.3</w:t>
            </w:r>
          </w:p>
        </w:tc>
      </w:tr>
      <w:tr w:rsidR="00C40BEF">
        <w:trPr>
          <w:trHeight w:val="1753"/>
        </w:trPr>
        <w:tc>
          <w:tcPr>
            <w:tcW w:w="88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rPr>
                <w:rStyle w:val="aa"/>
                <w:rFonts w:ascii="宋体" w:eastAsia="宋体" w:hAnsi="宋体" w:cs="宋体" w:hint="default"/>
                <w:b/>
                <w:color w:val="auto"/>
                <w:sz w:val="24"/>
                <w:szCs w:val="24"/>
                <w:lang w:val="zh-TW"/>
              </w:rPr>
            </w:pPr>
            <w:r>
              <w:rPr>
                <w:rStyle w:val="aa"/>
                <w:rFonts w:ascii="宋体" w:eastAsia="宋体" w:hAnsi="宋体" w:cs="宋体"/>
                <w:b/>
                <w:color w:val="auto"/>
                <w:sz w:val="24"/>
                <w:szCs w:val="24"/>
                <w:lang w:val="zh-TW" w:eastAsia="zh-TW"/>
              </w:rPr>
              <w:t>注：</w:t>
            </w:r>
            <w:r>
              <w:rPr>
                <w:rStyle w:val="aa"/>
                <w:rFonts w:ascii="宋体" w:eastAsia="宋体" w:hAnsi="宋体" w:cs="宋体"/>
                <w:b/>
                <w:color w:val="auto"/>
                <w:sz w:val="24"/>
                <w:szCs w:val="24"/>
                <w:lang w:val="zh-TW"/>
              </w:rPr>
              <w:t>1.</w:t>
            </w:r>
            <w:r>
              <w:rPr>
                <w:rStyle w:val="aa"/>
                <w:rFonts w:ascii="宋体" w:eastAsia="宋体" w:hAnsi="宋体" w:cs="宋体"/>
                <w:b/>
                <w:color w:val="auto"/>
                <w:sz w:val="24"/>
                <w:szCs w:val="24"/>
                <w:lang w:val="zh-TW" w:eastAsia="zh-TW"/>
              </w:rPr>
              <w:t>对未列明的违反招投标工作要求的行为</w:t>
            </w:r>
            <w:r>
              <w:rPr>
                <w:rStyle w:val="aa"/>
                <w:rFonts w:ascii="宋体" w:eastAsia="宋体" w:hAnsi="宋体" w:cs="宋体"/>
                <w:b/>
                <w:color w:val="auto"/>
                <w:sz w:val="24"/>
                <w:szCs w:val="24"/>
                <w:lang w:val="zh-TW"/>
              </w:rPr>
              <w:t>可以</w:t>
            </w:r>
            <w:r>
              <w:rPr>
                <w:rStyle w:val="aa"/>
                <w:rFonts w:ascii="宋体" w:eastAsia="宋体" w:hAnsi="宋体" w:cs="宋体"/>
                <w:b/>
                <w:color w:val="auto"/>
                <w:sz w:val="24"/>
                <w:szCs w:val="24"/>
                <w:lang w:val="zh-TW" w:eastAsia="zh-TW"/>
              </w:rPr>
              <w:t>参照上述类似标准扣分。</w:t>
            </w:r>
          </w:p>
          <w:p w:rsidR="00C40BEF" w:rsidRDefault="003570E3">
            <w:pPr>
              <w:pStyle w:val="A0"/>
              <w:ind w:left="71"/>
              <w:rPr>
                <w:rStyle w:val="aa"/>
                <w:rFonts w:ascii="宋体" w:eastAsia="宋体" w:hAnsi="宋体" w:cs="宋体" w:hint="default"/>
                <w:b/>
                <w:color w:val="auto"/>
                <w:sz w:val="24"/>
                <w:szCs w:val="24"/>
                <w:lang w:val="zh-TW"/>
              </w:rPr>
            </w:pPr>
            <w:r>
              <w:rPr>
                <w:rStyle w:val="aa"/>
                <w:rFonts w:ascii="宋体" w:eastAsia="宋体" w:hAnsi="宋体" w:cs="宋体"/>
                <w:b/>
                <w:color w:val="auto"/>
                <w:sz w:val="24"/>
                <w:szCs w:val="24"/>
              </w:rPr>
              <w:t>2.</w:t>
            </w:r>
            <w:r>
              <w:rPr>
                <w:rStyle w:val="aa"/>
                <w:rFonts w:ascii="宋体" w:eastAsia="宋体" w:hAnsi="宋体" w:cs="宋体" w:hint="default"/>
                <w:b/>
                <w:color w:val="auto"/>
                <w:sz w:val="24"/>
                <w:szCs w:val="24"/>
              </w:rPr>
              <w:t>“</w:t>
            </w:r>
            <w:r>
              <w:rPr>
                <w:rStyle w:val="aa"/>
                <w:rFonts w:ascii="宋体" w:eastAsia="宋体" w:hAnsi="宋体" w:cs="宋体"/>
                <w:b/>
                <w:color w:val="auto"/>
                <w:sz w:val="24"/>
                <w:szCs w:val="24"/>
                <w:lang w:val="zh-TW" w:eastAsia="zh-TW"/>
              </w:rPr>
              <w:t>招标代理机构备案材料不符合要求退回修改</w:t>
            </w:r>
            <w:r>
              <w:rPr>
                <w:rStyle w:val="aa"/>
                <w:rFonts w:ascii="宋体" w:eastAsia="宋体" w:hAnsi="宋体" w:cs="宋体" w:hint="default"/>
                <w:b/>
                <w:color w:val="auto"/>
                <w:sz w:val="24"/>
                <w:szCs w:val="24"/>
              </w:rPr>
              <w:t>”</w:t>
            </w:r>
            <w:r>
              <w:rPr>
                <w:rStyle w:val="aa"/>
                <w:rFonts w:ascii="宋体" w:eastAsia="宋体" w:hAnsi="宋体" w:cs="宋体"/>
                <w:b/>
                <w:color w:val="auto"/>
                <w:sz w:val="24"/>
                <w:szCs w:val="24"/>
                <w:lang w:val="zh-TW" w:eastAsia="zh-TW"/>
              </w:rPr>
              <w:t>指的是：监管</w:t>
            </w:r>
            <w:r>
              <w:rPr>
                <w:rStyle w:val="aa"/>
                <w:rFonts w:ascii="宋体" w:eastAsia="宋体" w:hAnsi="宋体" w:cs="宋体"/>
                <w:b/>
                <w:color w:val="auto"/>
                <w:sz w:val="24"/>
                <w:szCs w:val="24"/>
                <w:lang w:val="zh-TW"/>
              </w:rPr>
              <w:t>机构</w:t>
            </w:r>
            <w:r>
              <w:rPr>
                <w:rStyle w:val="aa"/>
                <w:rFonts w:ascii="宋体" w:eastAsia="宋体" w:hAnsi="宋体" w:cs="宋体"/>
                <w:b/>
                <w:color w:val="auto"/>
                <w:sz w:val="24"/>
                <w:szCs w:val="24"/>
                <w:lang w:val="zh-TW" w:eastAsia="zh-TW"/>
              </w:rPr>
              <w:t>对备案的材料应当一次性告知需要修改的内容。若监管</w:t>
            </w:r>
            <w:r>
              <w:rPr>
                <w:rStyle w:val="aa"/>
                <w:rFonts w:ascii="宋体" w:eastAsia="宋体" w:hAnsi="宋体" w:cs="宋体"/>
                <w:b/>
                <w:color w:val="auto"/>
                <w:sz w:val="24"/>
                <w:szCs w:val="24"/>
                <w:lang w:val="zh-TW"/>
              </w:rPr>
              <w:t>机构</w:t>
            </w:r>
            <w:r>
              <w:rPr>
                <w:rStyle w:val="aa"/>
                <w:rFonts w:ascii="宋体" w:eastAsia="宋体" w:hAnsi="宋体" w:cs="宋体"/>
                <w:b/>
                <w:color w:val="auto"/>
                <w:sz w:val="24"/>
                <w:szCs w:val="24"/>
                <w:lang w:val="zh-TW" w:eastAsia="zh-TW"/>
              </w:rPr>
              <w:t>对备案的同一份材料不是一次性告知应当修改内容的，只能按退回一次情况扣分，不得反复扣分。</w:t>
            </w:r>
          </w:p>
          <w:p w:rsidR="00C40BEF" w:rsidRDefault="003570E3">
            <w:pPr>
              <w:pStyle w:val="A0"/>
              <w:ind w:left="71"/>
              <w:rPr>
                <w:rFonts w:ascii="宋体" w:eastAsia="宋体" w:hAnsi="宋体" w:hint="default"/>
                <w:color w:val="auto"/>
              </w:rPr>
            </w:pPr>
            <w:r>
              <w:rPr>
                <w:rStyle w:val="aa"/>
                <w:rFonts w:ascii="宋体" w:eastAsia="宋体" w:hAnsi="宋体" w:cs="宋体"/>
                <w:b/>
                <w:color w:val="auto"/>
                <w:sz w:val="24"/>
                <w:szCs w:val="24"/>
                <w:lang w:val="zh-TW"/>
              </w:rPr>
              <w:t>3.此表所列均是未达到行政处罚标准的行为。</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C40BEF">
            <w:pPr>
              <w:rPr>
                <w:rFonts w:ascii="宋体" w:eastAsia="宋体" w:hAnsi="宋体"/>
              </w:rPr>
            </w:pPr>
          </w:p>
        </w:tc>
      </w:tr>
    </w:tbl>
    <w:p w:rsidR="00C40BEF" w:rsidRDefault="003570E3">
      <w:pPr>
        <w:ind w:firstLineChars="150" w:firstLine="480"/>
        <w:rPr>
          <w:rFonts w:ascii="黑体" w:eastAsia="黑体" w:hAnsi="黑体" w:cs="Arial"/>
          <w:sz w:val="32"/>
          <w:szCs w:val="32"/>
        </w:rPr>
      </w:pPr>
      <w:r>
        <w:rPr>
          <w:rFonts w:ascii="黑体" w:eastAsia="黑体" w:hAnsi="黑体" w:cs="Arial" w:hint="eastAsia"/>
          <w:sz w:val="32"/>
          <w:szCs w:val="32"/>
        </w:rPr>
        <w:lastRenderedPageBreak/>
        <w:t>附件4</w:t>
      </w:r>
    </w:p>
    <w:p w:rsidR="00C40BEF" w:rsidRDefault="003570E3" w:rsidP="00B735B4">
      <w:pPr>
        <w:spacing w:beforeLines="100" w:afterLines="100"/>
        <w:jc w:val="center"/>
        <w:rPr>
          <w:rFonts w:ascii="方正小标宋简体" w:eastAsia="方正小标宋简体" w:hAnsi="宋体"/>
          <w:sz w:val="44"/>
          <w:szCs w:val="44"/>
        </w:rPr>
      </w:pPr>
      <w:r>
        <w:rPr>
          <w:rFonts w:ascii="方正小标宋简体" w:eastAsia="方正小标宋简体" w:hAnsi="宋体" w:hint="eastAsia"/>
          <w:sz w:val="44"/>
          <w:szCs w:val="44"/>
        </w:rPr>
        <w:t>日常失信行为扣分</w:t>
      </w:r>
    </w:p>
    <w:p w:rsidR="00C40BEF" w:rsidRDefault="003570E3" w:rsidP="00B735B4">
      <w:pPr>
        <w:spacing w:afterLines="100"/>
        <w:jc w:val="center"/>
        <w:rPr>
          <w:rFonts w:ascii="宋体" w:eastAsia="宋体" w:hAnsi="宋体"/>
          <w:b/>
          <w:sz w:val="36"/>
          <w:szCs w:val="36"/>
        </w:rPr>
      </w:pPr>
      <w:r>
        <w:rPr>
          <w:rFonts w:ascii="宋体" w:eastAsia="宋体" w:hAnsi="宋体" w:hint="eastAsia"/>
          <w:b/>
          <w:sz w:val="36"/>
          <w:szCs w:val="36"/>
        </w:rPr>
        <w:t>（一般-2分、较重-10分、严重-20分）</w:t>
      </w:r>
    </w:p>
    <w:tbl>
      <w:tblPr>
        <w:tblStyle w:val="TableNormal"/>
        <w:tblW w:w="930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49"/>
        <w:gridCol w:w="1173"/>
        <w:gridCol w:w="4601"/>
        <w:gridCol w:w="1613"/>
        <w:gridCol w:w="1172"/>
      </w:tblGrid>
      <w:tr w:rsidR="00C40BEF">
        <w:trPr>
          <w:trHeight w:val="712"/>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lang w:eastAsia="en-US"/>
              </w:rPr>
            </w:pPr>
            <w:r>
              <w:rPr>
                <w:rStyle w:val="aa"/>
                <w:rFonts w:ascii="宋体" w:eastAsia="宋体" w:hAnsi="宋体" w:cs="宋体"/>
                <w:b/>
                <w:bCs/>
                <w:color w:val="auto"/>
                <w:sz w:val="24"/>
                <w:szCs w:val="24"/>
                <w:lang w:val="zh-TW" w:eastAsia="zh-TW"/>
              </w:rPr>
              <w:t>序号</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b/>
                <w:bCs/>
                <w:color w:val="auto"/>
                <w:sz w:val="24"/>
                <w:szCs w:val="24"/>
                <w:lang w:val="zh-TW" w:eastAsia="zh-TW"/>
              </w:rPr>
              <w:t>失信行为</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b/>
                <w:bCs/>
                <w:color w:val="auto"/>
                <w:sz w:val="24"/>
                <w:szCs w:val="24"/>
                <w:lang w:val="zh-TW" w:eastAsia="zh-TW"/>
              </w:rPr>
              <w:t>法规依据</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b/>
                <w:bCs/>
                <w:color w:val="auto"/>
                <w:sz w:val="24"/>
                <w:szCs w:val="24"/>
                <w:lang w:val="zh-TW" w:eastAsia="zh-TW"/>
              </w:rPr>
              <w:t>处理种类和幅度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b/>
                <w:bCs/>
                <w:color w:val="auto"/>
                <w:sz w:val="24"/>
                <w:szCs w:val="24"/>
                <w:lang w:val="zh-TW" w:eastAsia="zh-TW"/>
              </w:rPr>
              <w:t>严重程度分类</w:t>
            </w:r>
          </w:p>
        </w:tc>
      </w:tr>
      <w:tr w:rsidR="00C40BEF">
        <w:trPr>
          <w:trHeight w:val="5030"/>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在开标前泄漏应当保密的与招标有关的情况和资料的</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after="240"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《中华人民共和国招标投标法》</w:t>
            </w:r>
            <w:r>
              <w:rPr>
                <w:rStyle w:val="aa"/>
                <w:rFonts w:ascii="宋体" w:eastAsia="宋体" w:hAnsi="宋体" w:cs="宋体"/>
                <w:color w:val="auto"/>
                <w:sz w:val="24"/>
                <w:szCs w:val="24"/>
                <w:lang w:val="zh-TW"/>
              </w:rPr>
              <w:t>（主席令第21号）</w:t>
            </w:r>
            <w:r>
              <w:rPr>
                <w:rStyle w:val="aa"/>
                <w:rFonts w:ascii="宋体" w:eastAsia="宋体" w:hAnsi="宋体" w:cs="宋体"/>
                <w:color w:val="auto"/>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暂停或取消招标代理资格，或处五万元以上罚款的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4953"/>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t>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招标代理机构与招标人或者投标人串通损害国家利益、社会公众利益或投标人利益的</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after="240"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《中华人民共和国招标投标法》</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主席令第</w:t>
            </w:r>
            <w:r>
              <w:rPr>
                <w:rStyle w:val="aa"/>
                <w:rFonts w:ascii="宋体" w:eastAsia="宋体" w:hAnsi="宋体"/>
                <w:color w:val="auto"/>
                <w:sz w:val="24"/>
                <w:szCs w:val="24"/>
              </w:rPr>
              <w:t>21</w:t>
            </w:r>
            <w:r>
              <w:rPr>
                <w:rStyle w:val="aa"/>
                <w:rFonts w:ascii="宋体" w:eastAsia="宋体" w:hAnsi="宋体" w:cs="宋体"/>
                <w:color w:val="auto"/>
                <w:sz w:val="24"/>
                <w:szCs w:val="24"/>
                <w:lang w:val="zh-TW" w:eastAsia="zh-TW"/>
              </w:rPr>
              <w:t>号</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暂停或取消招标代理资格，或处五万元以上罚款的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2177"/>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3</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同时接受发包人和承包人对同一工程项目的有关业务委托的</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《江苏省建筑市场管理条例》（２００４年８月２０日江苏省第十届人民代表大会常务委员会第十一次会议通过）第二十四条</w:t>
            </w:r>
            <w:r>
              <w:rPr>
                <w:rStyle w:val="aa"/>
                <w:rFonts w:ascii="宋体" w:eastAsia="宋体" w:hAnsi="宋体" w:cs="宋体"/>
                <w:color w:val="auto"/>
                <w:sz w:val="24"/>
                <w:szCs w:val="24"/>
                <w:lang w:val="zh-TW"/>
              </w:rPr>
              <w:t xml:space="preserve">  </w:t>
            </w:r>
            <w:r>
              <w:rPr>
                <w:rStyle w:val="aa"/>
                <w:rFonts w:ascii="宋体" w:eastAsia="宋体" w:hAnsi="宋体" w:cs="宋体"/>
                <w:color w:val="auto"/>
                <w:sz w:val="24"/>
                <w:szCs w:val="24"/>
                <w:lang w:val="zh-TW" w:eastAsia="zh-TW"/>
              </w:rPr>
              <w:t>工程建设中介服务机构不得实施下列行为：第（二）项同时接受发包人和承包人对同一工程项目的有关业务委托</w:t>
            </w:r>
            <w:r>
              <w:rPr>
                <w:rStyle w:val="aa"/>
                <w:rFonts w:ascii="宋体" w:eastAsia="宋体" w:hAnsi="宋体" w:cs="宋体"/>
                <w:color w:val="auto"/>
                <w:sz w:val="24"/>
                <w:szCs w:val="24"/>
                <w:lang w:val="zh-TW"/>
              </w:rPr>
              <w:t>。</w:t>
            </w:r>
            <w:r>
              <w:rPr>
                <w:rStyle w:val="aa"/>
                <w:rFonts w:ascii="宋体" w:eastAsia="宋体" w:hAnsi="宋体" w:cs="宋体"/>
                <w:color w:val="auto"/>
                <w:sz w:val="24"/>
                <w:szCs w:val="24"/>
                <w:lang w:val="zh-TW" w:eastAsia="zh-TW"/>
              </w:rPr>
              <w:t>第五十条</w:t>
            </w:r>
            <w:r>
              <w:rPr>
                <w:rStyle w:val="aa"/>
                <w:rFonts w:ascii="宋体" w:eastAsia="宋体" w:hAnsi="宋体" w:cs="宋体"/>
                <w:color w:val="auto"/>
                <w:sz w:val="24"/>
                <w:szCs w:val="24"/>
                <w:lang w:val="zh-TW"/>
              </w:rPr>
              <w:t xml:space="preserve">  </w:t>
            </w:r>
            <w:r>
              <w:rPr>
                <w:rStyle w:val="aa"/>
                <w:rFonts w:ascii="宋体" w:eastAsia="宋体" w:hAnsi="宋体" w:cs="宋体"/>
                <w:color w:val="auto"/>
                <w:sz w:val="24"/>
                <w:szCs w:val="24"/>
                <w:lang w:val="zh-TW" w:eastAsia="zh-TW"/>
              </w:rPr>
              <w:t>工程造价咨询单位、招标代理机构和工程检测单位有违反本条例第二十四条第一款第（二）项规定行为的，由建设行政主管部门责令改正，没收违法所得，处以一万元以上五万元以下的罚款。</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责令改正，处二万元以下罚款的，或没收违法所得在二万元以下的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2097"/>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处二万元以上罚款的，或没收违法所得在二万元以上的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1096"/>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olor w:val="auto"/>
                <w:sz w:val="24"/>
                <w:szCs w:val="24"/>
              </w:rPr>
              <w:t>4</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非法干预评标专家的评标活动</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《评标专家和评标专家库管理暂行办法》</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国家发展计划委员会令第</w:t>
            </w:r>
            <w:r>
              <w:rPr>
                <w:rStyle w:val="aa"/>
                <w:rFonts w:ascii="宋体" w:eastAsia="宋体" w:hAnsi="宋体"/>
                <w:color w:val="auto"/>
                <w:sz w:val="24"/>
                <w:szCs w:val="24"/>
              </w:rPr>
              <w:t>29</w:t>
            </w:r>
            <w:r>
              <w:rPr>
                <w:rStyle w:val="aa"/>
                <w:rFonts w:ascii="宋体" w:eastAsia="宋体" w:hAnsi="宋体" w:cs="宋体"/>
                <w:color w:val="auto"/>
                <w:sz w:val="24"/>
                <w:szCs w:val="24"/>
                <w:lang w:val="zh-TW" w:eastAsia="zh-TW"/>
              </w:rPr>
              <w:t>号</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第十六条   组建评标专家库的政府部门或者招标代理机构有下列情形之一的，由有关行政监督部门给予警告；情节严重的，暂停直至取消招标代理机构相应的招标代理资格：（三）以管理为名，非法干预评标专家的评标活动的。</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警告</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1901"/>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暂停或取消招标代理资格</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1377"/>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olor w:val="auto"/>
                <w:sz w:val="24"/>
                <w:szCs w:val="24"/>
              </w:rPr>
              <w:t>5</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终止招标的，未及时通知相关人或退还所收取费用</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rPr>
                <w:rFonts w:ascii="宋体" w:eastAsia="宋体" w:hAnsi="宋体" w:cs="宋体" w:hint="default"/>
                <w:color w:val="auto"/>
                <w:sz w:val="24"/>
                <w:szCs w:val="24"/>
                <w:lang w:val="zh-TW"/>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第六十六条</w:t>
            </w:r>
            <w:r>
              <w:rPr>
                <w:rStyle w:val="aa"/>
                <w:rFonts w:ascii="宋体" w:eastAsia="宋体" w:hAnsi="宋体" w:cs="宋体" w:hint="default"/>
                <w:color w:val="auto"/>
                <w:sz w:val="24"/>
                <w:szCs w:val="24"/>
                <w:lang w:val="zh-TW" w:eastAsia="zh-TW"/>
              </w:rPr>
              <w:t xml:space="preserve">  </w:t>
            </w:r>
            <w:r>
              <w:rPr>
                <w:rStyle w:val="aa"/>
                <w:rFonts w:ascii="宋体" w:eastAsia="宋体" w:hAnsi="宋体" w:cs="宋体"/>
                <w:color w:val="auto"/>
                <w:sz w:val="24"/>
                <w:szCs w:val="24"/>
                <w:lang w:val="zh-TW" w:eastAsia="zh-TW"/>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责令改正，处一千元以下罚款的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1683"/>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处一千元以上二万元以下罚款的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1982"/>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4440"/>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6</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以不合理的条件限制或者排斥潜在投标人</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《中华人民共和国招标投标法》（主席令第</w:t>
            </w:r>
            <w:r>
              <w:rPr>
                <w:rStyle w:val="aa"/>
                <w:rFonts w:ascii="宋体" w:eastAsia="宋体" w:hAnsi="宋体"/>
                <w:color w:val="auto"/>
                <w:sz w:val="24"/>
                <w:szCs w:val="24"/>
              </w:rPr>
              <w:t>21</w:t>
            </w:r>
            <w:r>
              <w:rPr>
                <w:rStyle w:val="aa"/>
                <w:rFonts w:ascii="宋体" w:eastAsia="宋体" w:hAnsi="宋体" w:cs="宋体"/>
                <w:color w:val="auto"/>
                <w:sz w:val="24"/>
                <w:szCs w:val="24"/>
                <w:lang w:val="zh-TW" w:eastAsia="zh-TW"/>
              </w:rPr>
              <w:t>号）第五十一条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号）第三十二条　招标人不得以不合理的条件限制、排斥潜在投标人或者投标人。</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招标人有下列行为之一的，属于以不合理条件限制、排斥潜在投标人或者投标人：</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（一）就同一招标项目向潜在投标人或者投标人提供有差别的项目信息；</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（二）设定的资格、技术、商务条件与招标项目的具体特点和实际需要不相适应或者与合同履行无关；</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（三）依法必须进行招标的项目以特定行政区域或者特定行业的业绩、奖项作为加分条件或者中标条件；</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（四）对潜在投标人或者投标人采取不同的资格审查或者评标标准；</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（五）限定或者指定特定的专利、商标、品牌、原产地或者供应商；</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（六）依法必须进行招标的项目非法限定潜在投标人或者投标人的所有制形式或者组织形式；</w:t>
            </w:r>
          </w:p>
          <w:p w:rsidR="00C40BEF" w:rsidRDefault="003570E3">
            <w:pPr>
              <w:pStyle w:val="A0"/>
              <w:spacing w:line="240" w:lineRule="atLeast"/>
              <w:ind w:firstLine="360"/>
              <w:rPr>
                <w:rStyle w:val="aa"/>
                <w:rFonts w:ascii="宋体" w:eastAsia="宋体" w:hAnsi="宋体" w:hint="default"/>
                <w:color w:val="auto"/>
                <w:sz w:val="24"/>
                <w:szCs w:val="24"/>
                <w:lang w:eastAsia="zh-TW"/>
              </w:rPr>
            </w:pPr>
            <w:r>
              <w:rPr>
                <w:rStyle w:val="aa"/>
                <w:rFonts w:ascii="宋体" w:eastAsia="宋体" w:hAnsi="宋体" w:cs="宋体"/>
                <w:color w:val="auto"/>
                <w:sz w:val="24"/>
                <w:szCs w:val="24"/>
                <w:lang w:val="zh-TW" w:eastAsia="zh-TW"/>
              </w:rPr>
              <w:t>（七）以其他不合理条件限制、排斥潜在投标人或者投标人。</w:t>
            </w:r>
          </w:p>
          <w:p w:rsidR="00C40BEF" w:rsidRDefault="003570E3">
            <w:pPr>
              <w:pStyle w:val="A0"/>
              <w:spacing w:line="240" w:lineRule="atLeast"/>
              <w:rPr>
                <w:rFonts w:ascii="宋体" w:eastAsia="宋体" w:hAnsi="宋体" w:hint="default"/>
                <w:color w:val="auto"/>
                <w:sz w:val="24"/>
                <w:szCs w:val="24"/>
              </w:rPr>
            </w:pPr>
            <w:r>
              <w:rPr>
                <w:rStyle w:val="aa"/>
                <w:rFonts w:ascii="宋体" w:eastAsia="宋体" w:hAnsi="宋体" w:cs="宋体"/>
                <w:color w:val="auto"/>
                <w:sz w:val="24"/>
                <w:szCs w:val="24"/>
                <w:lang w:val="zh-TW" w:eastAsia="zh-TW"/>
              </w:rPr>
              <w:t>《工程建设项目施工招标投标办法》（七部委令</w:t>
            </w:r>
            <w:r>
              <w:rPr>
                <w:rStyle w:val="aa"/>
                <w:rFonts w:ascii="宋体" w:eastAsia="宋体" w:hAnsi="宋体"/>
                <w:color w:val="auto"/>
                <w:sz w:val="24"/>
                <w:szCs w:val="24"/>
              </w:rPr>
              <w:t>30</w:t>
            </w:r>
            <w:r>
              <w:rPr>
                <w:rStyle w:val="aa"/>
                <w:rFonts w:ascii="宋体" w:eastAsia="宋体" w:hAnsi="宋体" w:cs="宋体"/>
                <w:color w:val="auto"/>
                <w:sz w:val="24"/>
                <w:szCs w:val="24"/>
                <w:lang w:val="zh-TW" w:eastAsia="zh-TW"/>
              </w:rPr>
              <w:t>号）第二十六条　 招标文件规定的各项技术标准应符合国家强制性标准。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Style w:val="aa"/>
                <w:rFonts w:ascii="宋体" w:eastAsia="宋体" w:hAnsi="宋体" w:hint="default"/>
                <w:color w:val="auto"/>
                <w:sz w:val="24"/>
                <w:szCs w:val="24"/>
              </w:rPr>
              <w:t>“</w:t>
            </w:r>
            <w:r>
              <w:rPr>
                <w:rStyle w:val="aa"/>
                <w:rFonts w:ascii="宋体" w:eastAsia="宋体" w:hAnsi="宋体" w:cs="宋体"/>
                <w:color w:val="auto"/>
                <w:sz w:val="24"/>
                <w:szCs w:val="24"/>
                <w:lang w:val="zh-TW" w:eastAsia="zh-TW"/>
              </w:rPr>
              <w:t>或相当于</w:t>
            </w:r>
            <w:r>
              <w:rPr>
                <w:rStyle w:val="aa"/>
                <w:rFonts w:ascii="宋体" w:eastAsia="宋体" w:hAnsi="宋体" w:hint="default"/>
                <w:color w:val="auto"/>
                <w:sz w:val="24"/>
                <w:szCs w:val="24"/>
              </w:rPr>
              <w:t>”</w:t>
            </w:r>
            <w:r>
              <w:rPr>
                <w:rStyle w:val="aa"/>
                <w:rFonts w:ascii="宋体" w:eastAsia="宋体" w:hAnsi="宋体" w:cs="宋体"/>
                <w:color w:val="auto"/>
                <w:sz w:val="24"/>
                <w:szCs w:val="24"/>
                <w:lang w:val="zh-TW" w:eastAsia="zh-TW"/>
              </w:rPr>
              <w:t>的字样。</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444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4440"/>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4391"/>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7</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招标文件、资格预审文件的发售、澄清、修改的时限，或者确定的提交资格预审申请文件、投标文件的时限不符合规定</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w:t>
            </w:r>
            <w:r>
              <w:rPr>
                <w:rStyle w:val="aa"/>
                <w:rFonts w:ascii="宋体" w:eastAsia="宋体" w:hAnsi="宋体" w:hint="default"/>
                <w:color w:val="auto"/>
                <w:sz w:val="24"/>
                <w:szCs w:val="24"/>
              </w:rPr>
              <w:t> </w:t>
            </w:r>
            <w:r>
              <w:rPr>
                <w:rStyle w:val="aa"/>
                <w:rFonts w:ascii="宋体" w:eastAsia="宋体" w:hAnsi="宋体" w:cs="宋体"/>
                <w:color w:val="auto"/>
                <w:sz w:val="24"/>
                <w:szCs w:val="24"/>
                <w:lang w:val="zh-TW" w:eastAsia="zh-TW"/>
              </w:rPr>
              <w:t>（国务院令第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号）第六十四条  招标人有下列情形之一的，由有关行政监督部门责令改正，可以处</w:t>
            </w:r>
            <w:r>
              <w:rPr>
                <w:rStyle w:val="aa"/>
                <w:rFonts w:ascii="宋体" w:eastAsia="宋体" w:hAnsi="宋体"/>
                <w:color w:val="auto"/>
                <w:sz w:val="24"/>
                <w:szCs w:val="24"/>
              </w:rPr>
              <w:t>10</w:t>
            </w:r>
            <w:r>
              <w:rPr>
                <w:rStyle w:val="aa"/>
                <w:rFonts w:ascii="宋体" w:eastAsia="宋体" w:hAnsi="宋体" w:cs="宋体"/>
                <w:color w:val="auto"/>
                <w:sz w:val="24"/>
                <w:szCs w:val="24"/>
                <w:lang w:val="zh-TW" w:eastAsia="zh-TW"/>
              </w:rPr>
              <w:t>万元以下的罚款：（二）招标文件、资格预审文件的发售、澄清、修改的时限，或者确定的提交资格预审申请文件、投标文件的时限不符合招标投标法和本条例规定；</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w:t>
            </w:r>
          </w:p>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第十六条　招标人应当按照资格预审公告、招标公告或者投标邀请书规定的时间、地点发售资格预审文件或者招标文件。资格预审文件或者招标文件的发售期不得少于</w:t>
            </w:r>
            <w:r>
              <w:rPr>
                <w:rStyle w:val="aa"/>
                <w:rFonts w:ascii="宋体" w:eastAsia="宋体" w:hAnsi="宋体"/>
                <w:color w:val="auto"/>
                <w:sz w:val="24"/>
                <w:szCs w:val="24"/>
              </w:rPr>
              <w:t>5</w:t>
            </w:r>
            <w:r>
              <w:rPr>
                <w:rStyle w:val="aa"/>
                <w:rFonts w:ascii="宋体" w:eastAsia="宋体" w:hAnsi="宋体" w:cs="宋体"/>
                <w:color w:val="auto"/>
                <w:sz w:val="24"/>
                <w:szCs w:val="24"/>
                <w:lang w:val="zh-TW" w:eastAsia="zh-TW"/>
              </w:rPr>
              <w:t>日。</w:t>
            </w:r>
          </w:p>
          <w:p w:rsidR="00C40BEF" w:rsidRDefault="003570E3">
            <w:pPr>
              <w:pStyle w:val="A0"/>
              <w:spacing w:line="240" w:lineRule="atLeast"/>
              <w:jc w:val="lef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第十七条　招标人应当合理确定提交资格预审申请文件的时间。依法必须进行招标的项目提交资格预审申请文件的时间，自资格预审文件停止发售之日起不得少于</w:t>
            </w:r>
            <w:r>
              <w:rPr>
                <w:rStyle w:val="aa"/>
                <w:rFonts w:ascii="宋体" w:eastAsia="宋体" w:hAnsi="宋体"/>
                <w:color w:val="auto"/>
                <w:sz w:val="24"/>
                <w:szCs w:val="24"/>
              </w:rPr>
              <w:t>5</w:t>
            </w:r>
            <w:r>
              <w:rPr>
                <w:rStyle w:val="aa"/>
                <w:rFonts w:ascii="宋体" w:eastAsia="宋体" w:hAnsi="宋体" w:cs="宋体"/>
                <w:color w:val="auto"/>
                <w:sz w:val="24"/>
                <w:szCs w:val="24"/>
                <w:lang w:val="zh-TW" w:eastAsia="zh-TW"/>
              </w:rPr>
              <w:t xml:space="preserve">日。   </w:t>
            </w:r>
          </w:p>
          <w:p w:rsidR="00C40BEF" w:rsidRDefault="003570E3">
            <w:pPr>
              <w:pStyle w:val="A0"/>
              <w:spacing w:line="240" w:lineRule="atLeast"/>
              <w:jc w:val="lef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第二十一条　 招标人可以对已发出的资格预审文件或者招标文件进行必要的澄清或者修改。澄清或者修改的内容可能影响资格预审申请文件或者投标文件编制的，招标人应当在提交资格预审申请文件截止时间至少</w:t>
            </w:r>
            <w:r>
              <w:rPr>
                <w:rStyle w:val="aa"/>
                <w:rFonts w:ascii="宋体" w:eastAsia="宋体" w:hAnsi="宋体"/>
                <w:color w:val="auto"/>
                <w:sz w:val="24"/>
                <w:szCs w:val="24"/>
              </w:rPr>
              <w:t>3</w:t>
            </w:r>
            <w:r>
              <w:rPr>
                <w:rStyle w:val="aa"/>
                <w:rFonts w:ascii="宋体" w:eastAsia="宋体" w:hAnsi="宋体" w:cs="宋体"/>
                <w:color w:val="auto"/>
                <w:sz w:val="24"/>
                <w:szCs w:val="24"/>
                <w:lang w:val="zh-TW" w:eastAsia="zh-TW"/>
              </w:rPr>
              <w:t>日前，或者投标截止时间至少</w:t>
            </w:r>
            <w:r>
              <w:rPr>
                <w:rStyle w:val="aa"/>
                <w:rFonts w:ascii="宋体" w:eastAsia="宋体" w:hAnsi="宋体"/>
                <w:color w:val="auto"/>
                <w:sz w:val="24"/>
                <w:szCs w:val="24"/>
              </w:rPr>
              <w:t>15</w:t>
            </w:r>
            <w:r>
              <w:rPr>
                <w:rStyle w:val="aa"/>
                <w:rFonts w:ascii="宋体" w:eastAsia="宋体" w:hAnsi="宋体" w:cs="宋体"/>
                <w:color w:val="auto"/>
                <w:sz w:val="24"/>
                <w:szCs w:val="24"/>
                <w:lang w:val="zh-TW" w:eastAsia="zh-TW"/>
              </w:rPr>
              <w:t>日前，以书面形式通知所有获取资格预审文件或者招标文件的潜在投标人；不足</w:t>
            </w:r>
            <w:r>
              <w:rPr>
                <w:rStyle w:val="aa"/>
                <w:rFonts w:ascii="宋体" w:eastAsia="宋体" w:hAnsi="宋体"/>
                <w:color w:val="auto"/>
                <w:sz w:val="24"/>
                <w:szCs w:val="24"/>
              </w:rPr>
              <w:t>3</w:t>
            </w:r>
            <w:r>
              <w:rPr>
                <w:rStyle w:val="aa"/>
                <w:rFonts w:ascii="宋体" w:eastAsia="宋体" w:hAnsi="宋体" w:cs="宋体"/>
                <w:color w:val="auto"/>
                <w:sz w:val="24"/>
                <w:szCs w:val="24"/>
                <w:lang w:val="zh-TW" w:eastAsia="zh-TW"/>
              </w:rPr>
              <w:t>日或者</w:t>
            </w:r>
            <w:r>
              <w:rPr>
                <w:rStyle w:val="aa"/>
                <w:rFonts w:ascii="宋体" w:eastAsia="宋体" w:hAnsi="宋体"/>
                <w:color w:val="auto"/>
                <w:sz w:val="24"/>
                <w:szCs w:val="24"/>
              </w:rPr>
              <w:t>15</w:t>
            </w:r>
            <w:r>
              <w:rPr>
                <w:rStyle w:val="aa"/>
                <w:rFonts w:ascii="宋体" w:eastAsia="宋体" w:hAnsi="宋体" w:cs="宋体"/>
                <w:color w:val="auto"/>
                <w:sz w:val="24"/>
                <w:szCs w:val="24"/>
                <w:lang w:val="zh-TW" w:eastAsia="zh-TW"/>
              </w:rPr>
              <w:t>日的，招标人应当顺延提交资格预审申请文件或者投标文件的截止时间。</w:t>
            </w:r>
          </w:p>
          <w:p w:rsidR="00C40BEF" w:rsidRDefault="003570E3">
            <w:pPr>
              <w:pStyle w:val="A0"/>
              <w:spacing w:line="240" w:lineRule="atLeast"/>
              <w:jc w:val="lef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主席令第</w:t>
            </w:r>
            <w:r>
              <w:rPr>
                <w:rStyle w:val="aa"/>
                <w:rFonts w:ascii="宋体" w:eastAsia="宋体" w:hAnsi="宋体"/>
                <w:color w:val="auto"/>
                <w:sz w:val="24"/>
                <w:szCs w:val="24"/>
              </w:rPr>
              <w:t>21</w:t>
            </w:r>
            <w:r>
              <w:rPr>
                <w:rStyle w:val="aa"/>
                <w:rFonts w:ascii="宋体" w:eastAsia="宋体" w:hAnsi="宋体" w:cs="宋体"/>
                <w:color w:val="auto"/>
                <w:sz w:val="24"/>
                <w:szCs w:val="24"/>
                <w:lang w:val="zh-TW" w:eastAsia="zh-TW"/>
              </w:rPr>
              <w:t>号</w:t>
            </w:r>
            <w:r>
              <w:rPr>
                <w:rStyle w:val="aa"/>
                <w:rFonts w:ascii="宋体" w:eastAsia="宋体" w:hAnsi="宋体"/>
                <w:color w:val="auto"/>
                <w:sz w:val="24"/>
                <w:szCs w:val="24"/>
              </w:rPr>
              <w:t xml:space="preserve">)  </w:t>
            </w:r>
          </w:p>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第二十四条   招标人应当确定投标人编制投标文件所需要的合理时间；但是，依法必须进行招标的项目，自招标文件开始发出之日起至投标人提交投标文件截止之日止，最短不得少于二十日。</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4391"/>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4391"/>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2405"/>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8</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未在国家指定的报刊和信息网络上发布招标公告；或在两个以上媒介发布的同一招标项目的招标公告的内容不一致；</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主席令第</w:t>
            </w:r>
            <w:r>
              <w:rPr>
                <w:rStyle w:val="aa"/>
                <w:rFonts w:ascii="宋体" w:eastAsia="宋体" w:hAnsi="宋体"/>
                <w:color w:val="auto"/>
                <w:sz w:val="24"/>
                <w:szCs w:val="24"/>
              </w:rPr>
              <w:t>21</w:t>
            </w:r>
            <w:r>
              <w:rPr>
                <w:rStyle w:val="aa"/>
                <w:rFonts w:ascii="宋体" w:eastAsia="宋体" w:hAnsi="宋体" w:cs="宋体"/>
                <w:color w:val="auto"/>
                <w:sz w:val="24"/>
                <w:szCs w:val="24"/>
                <w:lang w:val="zh-TW" w:eastAsia="zh-TW"/>
              </w:rPr>
              <w:t>号</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rsidR="00C40BEF" w:rsidRDefault="003570E3">
            <w:pPr>
              <w:pStyle w:val="A0"/>
              <w:spacing w:after="240"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2405"/>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2405"/>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1814"/>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olor w:val="auto"/>
                <w:sz w:val="24"/>
                <w:szCs w:val="24"/>
              </w:rPr>
              <w:t>9</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接受应当拒收的投标文件</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号）第三十六条　 未通过资格预审的申请人提交的投标文件，以及逾期送达或者不按照招标文件要求密封的投标文件，招标人应当拒收。</w:t>
            </w:r>
          </w:p>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第六十四条　 招标人有下列情形之一的，由有关行政监督部门责令改正，可以处</w:t>
            </w:r>
            <w:r>
              <w:rPr>
                <w:rStyle w:val="aa"/>
                <w:rFonts w:ascii="宋体" w:eastAsia="宋体" w:hAnsi="宋体"/>
                <w:color w:val="auto"/>
                <w:sz w:val="24"/>
                <w:szCs w:val="24"/>
              </w:rPr>
              <w:t>10</w:t>
            </w:r>
            <w:r>
              <w:rPr>
                <w:rStyle w:val="aa"/>
                <w:rFonts w:ascii="宋体" w:eastAsia="宋体" w:hAnsi="宋体" w:cs="宋体"/>
                <w:color w:val="auto"/>
                <w:sz w:val="24"/>
                <w:szCs w:val="24"/>
                <w:lang w:val="zh-TW" w:eastAsia="zh-TW"/>
              </w:rPr>
              <w:t>万元以下的罚款：（四）接受应当拒收的投标文件。</w:t>
            </w:r>
          </w:p>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招标人有前款第一项、第三项、第四项所列行为之一的，对单位直接负责的主管人员和其他直接责任人员依法给予处分。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1814"/>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1814"/>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2473"/>
          <w:jc w:val="center"/>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10</w:t>
            </w: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组建的评标委员会不符合法定要求</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第七十条依法必须进行招标的项目的招标人不按照规定组建评标委员会，或者确定、更换评标委员会成员违反招标投标法和本条例规定的，由有关行政监督部门责令改正，可以处</w:t>
            </w:r>
            <w:r>
              <w:rPr>
                <w:rStyle w:val="aa"/>
                <w:rFonts w:ascii="宋体" w:eastAsia="宋体" w:hAnsi="宋体"/>
                <w:color w:val="auto"/>
                <w:sz w:val="24"/>
                <w:szCs w:val="24"/>
              </w:rPr>
              <w:t>10</w:t>
            </w:r>
            <w:r>
              <w:rPr>
                <w:rStyle w:val="aa"/>
                <w:rFonts w:ascii="宋体" w:eastAsia="宋体" w:hAnsi="宋体" w:cs="宋体"/>
                <w:color w:val="auto"/>
                <w:sz w:val="24"/>
                <w:szCs w:val="24"/>
                <w:lang w:val="zh-TW" w:eastAsia="zh-TW"/>
              </w:rPr>
              <w:t>万元以下的罚款，对单位直接负责的主管人员和其他直接责任人员依法给予处分；违法确定或者更换的评标委员会成员作出的评审结论无效，依法重新进行评审。</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责令改正，重新评审</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2473"/>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处二万元以下罚款的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2473"/>
          <w:jc w:val="center"/>
        </w:trPr>
        <w:tc>
          <w:tcPr>
            <w:tcW w:w="749"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tcPr>
          <w:p w:rsidR="00C40BEF" w:rsidRDefault="00C40BEF">
            <w:pPr>
              <w:spacing w:line="240" w:lineRule="atLeast"/>
              <w:rPr>
                <w:rFonts w:ascii="宋体" w:eastAsia="宋体" w:hAnsi="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处二万元以上罚款的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严重</w:t>
            </w:r>
          </w:p>
        </w:tc>
      </w:tr>
      <w:tr w:rsidR="00C40BEF">
        <w:trPr>
          <w:trHeight w:val="4652"/>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olor w:val="auto"/>
                <w:sz w:val="24"/>
                <w:szCs w:val="24"/>
              </w:rPr>
              <w:t>11</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不具备招标条件而进行招标</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主席令第</w:t>
            </w:r>
            <w:r>
              <w:rPr>
                <w:rStyle w:val="aa"/>
                <w:rFonts w:ascii="宋体" w:eastAsia="宋体" w:hAnsi="宋体"/>
                <w:color w:val="auto"/>
                <w:sz w:val="24"/>
                <w:szCs w:val="24"/>
              </w:rPr>
              <w:t>21</w:t>
            </w:r>
            <w:r>
              <w:rPr>
                <w:rStyle w:val="aa"/>
                <w:rFonts w:ascii="宋体" w:eastAsia="宋体" w:hAnsi="宋体" w:cs="宋体"/>
                <w:color w:val="auto"/>
                <w:sz w:val="24"/>
                <w:szCs w:val="24"/>
                <w:lang w:val="zh-TW" w:eastAsia="zh-TW"/>
              </w:rPr>
              <w:t>号</w:t>
            </w:r>
            <w:r>
              <w:rPr>
                <w:rStyle w:val="aa"/>
                <w:rFonts w:ascii="宋体" w:eastAsia="宋体" w:hAnsi="宋体"/>
                <w:color w:val="auto"/>
                <w:sz w:val="24"/>
                <w:szCs w:val="24"/>
              </w:rPr>
              <w:t xml:space="preserve">)  </w:t>
            </w:r>
            <w:r>
              <w:rPr>
                <w:rStyle w:val="aa"/>
                <w:rFonts w:ascii="宋体" w:eastAsia="宋体" w:hAnsi="宋体" w:cs="宋体"/>
                <w:color w:val="auto"/>
                <w:sz w:val="24"/>
                <w:szCs w:val="24"/>
                <w:lang w:val="zh-TW" w:eastAsia="zh-TW"/>
              </w:rPr>
              <w:t>第九条   招标项目按照国家有关规定需要履行项目审批手续的，应当先履行审批手续，取得批准。招标人应当有进行招标项目的相应资金或者资金来源已经落实，并应当在招标文件中如实载明。</w:t>
            </w:r>
          </w:p>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《房屋建筑和市政基础设施工程施工招标投标管理办法》（建设部令第</w:t>
            </w:r>
            <w:r>
              <w:rPr>
                <w:rStyle w:val="aa"/>
                <w:rFonts w:ascii="宋体" w:eastAsia="宋体" w:hAnsi="宋体"/>
                <w:color w:val="auto"/>
                <w:sz w:val="24"/>
                <w:szCs w:val="24"/>
              </w:rPr>
              <w:t>89</w:t>
            </w:r>
            <w:r>
              <w:rPr>
                <w:rStyle w:val="aa"/>
                <w:rFonts w:ascii="宋体" w:eastAsia="宋体" w:hAnsi="宋体" w:cs="宋体"/>
                <w:color w:val="auto"/>
                <w:sz w:val="24"/>
                <w:szCs w:val="24"/>
                <w:lang w:val="zh-TW" w:eastAsia="zh-TW"/>
              </w:rPr>
              <w:t>号）  第八条　 工程施工招标应当具备下列条件：</w:t>
            </w:r>
          </w:p>
          <w:p w:rsidR="00C40BEF" w:rsidRDefault="003570E3">
            <w:pPr>
              <w:pStyle w:val="A0"/>
              <w:widowControl/>
              <w:spacing w:line="240" w:lineRule="atLeast"/>
              <w:ind w:firstLineChars="200" w:firstLine="480"/>
              <w:rPr>
                <w:rStyle w:val="aa"/>
                <w:rFonts w:ascii="宋体" w:eastAsia="宋体" w:hAnsi="宋体" w:hint="default"/>
                <w:color w:val="auto"/>
                <w:sz w:val="24"/>
                <w:szCs w:val="24"/>
              </w:rPr>
            </w:pP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一</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按照国家有关规定需要履行项目审批手续的，已经履行审批手续；</w:t>
            </w:r>
          </w:p>
          <w:p w:rsidR="00C40BEF" w:rsidRDefault="003570E3">
            <w:pPr>
              <w:pStyle w:val="A0"/>
              <w:widowControl/>
              <w:spacing w:line="240" w:lineRule="atLeast"/>
              <w:ind w:firstLineChars="200" w:firstLine="480"/>
              <w:rPr>
                <w:rStyle w:val="aa"/>
                <w:rFonts w:ascii="宋体" w:eastAsia="宋体" w:hAnsi="宋体" w:hint="default"/>
                <w:color w:val="auto"/>
                <w:sz w:val="24"/>
                <w:szCs w:val="24"/>
              </w:rPr>
            </w:pP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二</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工程资金或者资金来源已经落实；</w:t>
            </w:r>
          </w:p>
          <w:p w:rsidR="00C40BEF" w:rsidRDefault="003570E3">
            <w:pPr>
              <w:pStyle w:val="A0"/>
              <w:widowControl/>
              <w:spacing w:line="240" w:lineRule="atLeast"/>
              <w:ind w:firstLineChars="200" w:firstLine="480"/>
              <w:rPr>
                <w:rStyle w:val="aa"/>
                <w:rFonts w:ascii="宋体" w:eastAsia="宋体" w:hAnsi="宋体" w:hint="default"/>
                <w:color w:val="auto"/>
                <w:sz w:val="24"/>
                <w:szCs w:val="24"/>
              </w:rPr>
            </w:pP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三</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有满足施工招标需要的设计文件及其他技术资料；</w:t>
            </w:r>
          </w:p>
          <w:p w:rsidR="00C40BEF" w:rsidRDefault="003570E3">
            <w:pPr>
              <w:pStyle w:val="A0"/>
              <w:widowControl/>
              <w:spacing w:line="240" w:lineRule="atLeast"/>
              <w:ind w:firstLineChars="200" w:firstLine="480"/>
              <w:rPr>
                <w:rFonts w:ascii="宋体" w:eastAsia="宋体" w:hAnsi="宋体" w:hint="default"/>
                <w:color w:val="auto"/>
              </w:rPr>
            </w:pP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四</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法律、法规、规章规定的其他条件。</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rPr>
                <w:rFonts w:ascii="宋体" w:eastAsia="宋体" w:hAnsi="宋体" w:hint="default"/>
                <w:color w:val="auto"/>
                <w:lang w:eastAsia="en-US"/>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6422"/>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12</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未按规定出售资格预审文件和招标文件</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w:t>
            </w:r>
          </w:p>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 xml:space="preserve"> 第十六条　 招标人发售资格预审文件、招标文件收取的费用应当限于补偿印刷、邮寄的成本支出，不得以营利为目的。</w:t>
            </w:r>
          </w:p>
          <w:p w:rsidR="00C40BEF" w:rsidRDefault="003570E3">
            <w:pPr>
              <w:pStyle w:val="A0"/>
              <w:widowControl/>
              <w:spacing w:line="240" w:lineRule="atLeast"/>
              <w:rPr>
                <w:rStyle w:val="aa"/>
                <w:rFonts w:ascii="宋体" w:eastAsia="宋体" w:hAnsi="宋体" w:cs="宋体" w:hint="default"/>
                <w:color w:val="auto"/>
                <w:sz w:val="24"/>
                <w:szCs w:val="24"/>
              </w:rPr>
            </w:pPr>
            <w:r>
              <w:rPr>
                <w:rStyle w:val="aa"/>
                <w:rFonts w:ascii="宋体" w:eastAsia="宋体" w:hAnsi="宋体" w:cs="宋体"/>
                <w:color w:val="auto"/>
                <w:sz w:val="24"/>
                <w:szCs w:val="24"/>
                <w:lang w:val="zh-TW" w:eastAsia="zh-TW"/>
              </w:rPr>
              <w:t>《关于明确建设工程电子招投标工作中招标文件发售费用标准的通知》（苏建招</w:t>
            </w:r>
            <w:r>
              <w:rPr>
                <w:rStyle w:val="aa"/>
                <w:rFonts w:ascii="宋体" w:eastAsia="宋体" w:hAnsi="宋体"/>
                <w:color w:val="auto"/>
                <w:sz w:val="24"/>
                <w:szCs w:val="24"/>
              </w:rPr>
              <w:t>[2012]191</w:t>
            </w:r>
            <w:r>
              <w:rPr>
                <w:rStyle w:val="aa"/>
                <w:rFonts w:ascii="宋体" w:eastAsia="宋体" w:hAnsi="宋体" w:cs="宋体"/>
                <w:color w:val="auto"/>
                <w:sz w:val="24"/>
                <w:szCs w:val="24"/>
                <w:lang w:val="zh-TW" w:eastAsia="zh-TW"/>
              </w:rPr>
              <w:t>号）</w:t>
            </w:r>
          </w:p>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第</w:t>
            </w:r>
            <w:r>
              <w:rPr>
                <w:rStyle w:val="aa"/>
                <w:rFonts w:ascii="宋体" w:eastAsia="宋体" w:hAnsi="宋体"/>
                <w:color w:val="auto"/>
                <w:sz w:val="24"/>
                <w:szCs w:val="24"/>
              </w:rPr>
              <w:t>1</w:t>
            </w:r>
            <w:r>
              <w:rPr>
                <w:rStyle w:val="aa"/>
                <w:rFonts w:ascii="宋体" w:eastAsia="宋体" w:hAnsi="宋体" w:cs="宋体"/>
                <w:color w:val="auto"/>
                <w:sz w:val="24"/>
                <w:szCs w:val="24"/>
                <w:lang w:val="zh-TW" w:eastAsia="zh-TW"/>
              </w:rPr>
              <w:t>条   采用全程电子化招标的工程项目，招标文件发售价格按每本不超过</w:t>
            </w:r>
            <w:r>
              <w:rPr>
                <w:rStyle w:val="aa"/>
                <w:rFonts w:ascii="宋体" w:eastAsia="宋体" w:hAnsi="宋体"/>
                <w:color w:val="auto"/>
                <w:sz w:val="24"/>
                <w:szCs w:val="24"/>
              </w:rPr>
              <w:t>300</w:t>
            </w:r>
            <w:r>
              <w:rPr>
                <w:rStyle w:val="aa"/>
                <w:rFonts w:ascii="宋体" w:eastAsia="宋体" w:hAnsi="宋体" w:cs="宋体"/>
                <w:color w:val="auto"/>
                <w:sz w:val="24"/>
                <w:szCs w:val="24"/>
                <w:lang w:val="zh-TW" w:eastAsia="zh-TW"/>
              </w:rPr>
              <w:t>元收取，包括电子招标文件编制以及相关软件使用、维护、升级等费用。</w:t>
            </w:r>
          </w:p>
          <w:p w:rsidR="00C40BEF" w:rsidRDefault="003570E3">
            <w:pPr>
              <w:pStyle w:val="A0"/>
              <w:widowControl/>
              <w:spacing w:line="240" w:lineRule="atLeas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第</w:t>
            </w:r>
            <w:r>
              <w:rPr>
                <w:rStyle w:val="aa"/>
                <w:rFonts w:ascii="宋体" w:eastAsia="宋体" w:hAnsi="宋体"/>
                <w:color w:val="auto"/>
                <w:sz w:val="24"/>
                <w:szCs w:val="24"/>
              </w:rPr>
              <w:t>2</w:t>
            </w:r>
            <w:r>
              <w:rPr>
                <w:rStyle w:val="aa"/>
                <w:rFonts w:ascii="宋体" w:eastAsia="宋体" w:hAnsi="宋体" w:cs="宋体"/>
                <w:color w:val="auto"/>
                <w:sz w:val="24"/>
                <w:szCs w:val="24"/>
                <w:lang w:val="zh-TW" w:eastAsia="zh-TW"/>
              </w:rPr>
              <w:t>条   暂时使用同一家工具和平台的项目，其招标文件发售价格</w:t>
            </w:r>
            <w:r>
              <w:rPr>
                <w:rStyle w:val="aa"/>
                <w:rFonts w:ascii="宋体" w:eastAsia="宋体" w:hAnsi="宋体"/>
                <w:color w:val="auto"/>
                <w:sz w:val="24"/>
                <w:szCs w:val="24"/>
              </w:rPr>
              <w:t>250</w:t>
            </w:r>
            <w:r>
              <w:rPr>
                <w:rStyle w:val="aa"/>
                <w:rFonts w:ascii="宋体" w:eastAsia="宋体" w:hAnsi="宋体" w:cs="宋体"/>
                <w:color w:val="auto"/>
                <w:sz w:val="24"/>
                <w:szCs w:val="24"/>
                <w:lang w:val="zh-TW" w:eastAsia="zh-TW"/>
              </w:rPr>
              <w:t>元本，工具软件和平台软件使用和维护费合 计不得超过</w:t>
            </w:r>
            <w:r>
              <w:rPr>
                <w:rStyle w:val="aa"/>
                <w:rFonts w:ascii="宋体" w:eastAsia="宋体" w:hAnsi="宋体"/>
                <w:color w:val="auto"/>
                <w:sz w:val="24"/>
                <w:szCs w:val="24"/>
              </w:rPr>
              <w:t>150</w:t>
            </w:r>
            <w:r>
              <w:rPr>
                <w:rStyle w:val="aa"/>
                <w:rFonts w:ascii="宋体" w:eastAsia="宋体" w:hAnsi="宋体" w:cs="宋体"/>
                <w:color w:val="auto"/>
                <w:sz w:val="24"/>
                <w:szCs w:val="24"/>
                <w:lang w:val="zh-TW" w:eastAsia="zh-TW"/>
              </w:rPr>
              <w:t>元</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本。</w:t>
            </w:r>
          </w:p>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第</w:t>
            </w:r>
            <w:r>
              <w:rPr>
                <w:rStyle w:val="aa"/>
                <w:rFonts w:ascii="宋体" w:eastAsia="宋体" w:hAnsi="宋体"/>
                <w:color w:val="auto"/>
                <w:sz w:val="24"/>
                <w:szCs w:val="24"/>
              </w:rPr>
              <w:t>3</w:t>
            </w:r>
            <w:r>
              <w:rPr>
                <w:rStyle w:val="aa"/>
                <w:rFonts w:ascii="宋体" w:eastAsia="宋体" w:hAnsi="宋体" w:cs="宋体"/>
                <w:color w:val="auto"/>
                <w:sz w:val="24"/>
                <w:szCs w:val="24"/>
                <w:lang w:val="zh-TW" w:eastAsia="zh-TW"/>
              </w:rPr>
              <w:t>条   非电子化招标中招标文件发售费用标准调整为：标段估算价</w:t>
            </w:r>
            <w:r>
              <w:rPr>
                <w:rStyle w:val="aa"/>
                <w:rFonts w:ascii="宋体" w:eastAsia="宋体" w:hAnsi="宋体"/>
                <w:color w:val="auto"/>
                <w:sz w:val="24"/>
                <w:szCs w:val="24"/>
              </w:rPr>
              <w:t>1000</w:t>
            </w:r>
            <w:r>
              <w:rPr>
                <w:rStyle w:val="aa"/>
                <w:rFonts w:ascii="宋体" w:eastAsia="宋体" w:hAnsi="宋体" w:cs="宋体"/>
                <w:color w:val="auto"/>
                <w:sz w:val="24"/>
                <w:szCs w:val="24"/>
                <w:lang w:val="zh-TW" w:eastAsia="zh-TW"/>
              </w:rPr>
              <w:t>万元以内项目最高不超过</w:t>
            </w:r>
            <w:r>
              <w:rPr>
                <w:rStyle w:val="aa"/>
                <w:rFonts w:ascii="宋体" w:eastAsia="宋体" w:hAnsi="宋体"/>
                <w:color w:val="auto"/>
                <w:sz w:val="24"/>
                <w:szCs w:val="24"/>
              </w:rPr>
              <w:t>300</w:t>
            </w:r>
            <w:r>
              <w:rPr>
                <w:rStyle w:val="aa"/>
                <w:rFonts w:ascii="宋体" w:eastAsia="宋体" w:hAnsi="宋体" w:cs="宋体"/>
                <w:color w:val="auto"/>
                <w:sz w:val="24"/>
                <w:szCs w:val="24"/>
                <w:lang w:val="zh-TW" w:eastAsia="zh-TW"/>
              </w:rPr>
              <w:t>元；标段估算价</w:t>
            </w:r>
            <w:r>
              <w:rPr>
                <w:rStyle w:val="aa"/>
                <w:rFonts w:ascii="宋体" w:eastAsia="宋体" w:hAnsi="宋体"/>
                <w:color w:val="auto"/>
                <w:sz w:val="24"/>
                <w:szCs w:val="24"/>
              </w:rPr>
              <w:t>1000</w:t>
            </w:r>
            <w:r>
              <w:rPr>
                <w:rStyle w:val="aa"/>
                <w:rFonts w:ascii="宋体" w:eastAsia="宋体" w:hAnsi="宋体" w:cs="宋体"/>
                <w:color w:val="auto"/>
                <w:sz w:val="24"/>
                <w:szCs w:val="24"/>
                <w:lang w:val="zh-TW" w:eastAsia="zh-TW"/>
              </w:rPr>
              <w:t>万元以上项目最高不超过</w:t>
            </w:r>
            <w:r>
              <w:rPr>
                <w:rStyle w:val="aa"/>
                <w:rFonts w:ascii="宋体" w:eastAsia="宋体" w:hAnsi="宋体"/>
                <w:color w:val="auto"/>
                <w:sz w:val="24"/>
                <w:szCs w:val="24"/>
              </w:rPr>
              <w:t>500</w:t>
            </w:r>
            <w:r>
              <w:rPr>
                <w:rStyle w:val="aa"/>
                <w:rFonts w:ascii="宋体" w:eastAsia="宋体" w:hAnsi="宋体" w:cs="宋体"/>
                <w:color w:val="auto"/>
                <w:sz w:val="24"/>
                <w:szCs w:val="24"/>
                <w:lang w:val="zh-TW" w:eastAsia="zh-TW"/>
              </w:rPr>
              <w:t>元。其中使用网上远程异地评标的工程项目，电子化招投标工具软件、评标软件、专用光盘（含经济标、技术标等）使用和维护等费用合计，每次投标不超过</w:t>
            </w:r>
            <w:r>
              <w:rPr>
                <w:rStyle w:val="aa"/>
                <w:rFonts w:ascii="宋体" w:eastAsia="宋体" w:hAnsi="宋体"/>
                <w:color w:val="auto"/>
                <w:sz w:val="24"/>
                <w:szCs w:val="24"/>
              </w:rPr>
              <w:t>50</w:t>
            </w:r>
            <w:r>
              <w:rPr>
                <w:rStyle w:val="aa"/>
                <w:rFonts w:ascii="宋体" w:eastAsia="宋体" w:hAnsi="宋体" w:cs="宋体"/>
                <w:color w:val="auto"/>
                <w:sz w:val="24"/>
                <w:szCs w:val="24"/>
                <w:lang w:val="zh-TW" w:eastAsia="zh-TW"/>
              </w:rPr>
              <w:t>元，包含在招标文件发售费用中，由软件开发商收取。</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903"/>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t>13</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未按规定依法进入有形建筑市场交易</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C40BEF" w:rsidRDefault="003570E3">
            <w:pPr>
              <w:pStyle w:val="A0"/>
              <w:spacing w:after="240"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《江苏省建筑市场管理条例》第十条  工程项目发包，应当按照工程项目管理权限在省、设区的市、县（市）建设工程交易中心进行。机电设备招标投标活动按照国家和省人民政府有关规定执行。《房屋建筑和市政基础设施工程施工招标投标管理办法》第十三条　全部使用国有资金投资或者国有资金投资占控股或者主导地位，依法必须进行施工招标的工程项目，应当进入有形建筑市场进行招标投标活动。政府有关管理机关可以在有形建筑市场集中办理有关手续，并依法实施监督。</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ind w:firstLine="120"/>
              <w:rPr>
                <w:rFonts w:ascii="宋体" w:eastAsia="宋体" w:hAnsi="宋体" w:hint="default"/>
                <w:color w:val="auto"/>
              </w:rPr>
            </w:pPr>
            <w:r>
              <w:rPr>
                <w:rStyle w:val="aa"/>
                <w:rFonts w:ascii="宋体" w:eastAsia="宋体" w:hAnsi="宋体" w:cs="宋体"/>
                <w:color w:val="auto"/>
                <w:sz w:val="24"/>
                <w:szCs w:val="24"/>
                <w:lang w:val="zh-TW" w:eastAsia="zh-TW"/>
              </w:rPr>
              <w:t>责令改正，或通报批评</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较重</w:t>
            </w:r>
          </w:p>
        </w:tc>
      </w:tr>
      <w:tr w:rsidR="00C40BEF">
        <w:trPr>
          <w:trHeight w:val="2444"/>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lastRenderedPageBreak/>
              <w:t>14</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公告内容不真实、不完整</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《招标公告发布暂行办法》（国家计委令第</w:t>
            </w:r>
            <w:r>
              <w:rPr>
                <w:rStyle w:val="aa"/>
                <w:rFonts w:ascii="宋体" w:eastAsia="宋体" w:hAnsi="宋体"/>
                <w:color w:val="auto"/>
                <w:sz w:val="24"/>
                <w:szCs w:val="24"/>
              </w:rPr>
              <w:t>4</w:t>
            </w:r>
            <w:r>
              <w:rPr>
                <w:rStyle w:val="aa"/>
                <w:rFonts w:ascii="宋体" w:eastAsia="宋体" w:hAnsi="宋体" w:cs="宋体"/>
                <w:color w:val="auto"/>
                <w:sz w:val="24"/>
                <w:szCs w:val="24"/>
                <w:lang w:val="zh-TW" w:eastAsia="zh-TW"/>
              </w:rPr>
              <w:t>号） 第六条   招标公告应当载明招标人的名称和地址、招标项目的性质、数量、实施地点和时间、投标截止日期以及获取招标文件的办法等事项。</w:t>
            </w:r>
          </w:p>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招标人或其委托的招标代理机构应当保证招标公告内容的真实、准确和完整。</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2444"/>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t>15</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未组建资格审查委员会进行资格预审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号）第十八条　 资格预审应当按照资格预审文件载明的标准和方法进行。国有资金占控股或者主导地位的依法必须进行招标的项目</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招标人应当组建资格审查委员会审查资格预审申请文件。资格审查委员会及其成员应当遵守招标投标法和本条例有关评标委员会及其成员的规定。</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1484"/>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t>16</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在确定中标人</w:t>
            </w:r>
            <w:r>
              <w:rPr>
                <w:rStyle w:val="aa"/>
                <w:rFonts w:ascii="宋体" w:eastAsia="宋体" w:hAnsi="宋体"/>
                <w:color w:val="auto"/>
                <w:sz w:val="24"/>
                <w:szCs w:val="24"/>
              </w:rPr>
              <w:t>15</w:t>
            </w:r>
            <w:r>
              <w:rPr>
                <w:rStyle w:val="aa"/>
                <w:rFonts w:ascii="宋体" w:eastAsia="宋体" w:hAnsi="宋体" w:cs="宋体"/>
                <w:color w:val="auto"/>
                <w:sz w:val="24"/>
                <w:szCs w:val="24"/>
                <w:lang w:val="zh-TW" w:eastAsia="zh-TW"/>
              </w:rPr>
              <w:t>日内，未提交书面报告</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《中华人民共和国招标投标法》</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主席令第</w:t>
            </w:r>
            <w:r>
              <w:rPr>
                <w:rStyle w:val="aa"/>
                <w:rFonts w:ascii="宋体" w:eastAsia="宋体" w:hAnsi="宋体"/>
                <w:color w:val="auto"/>
                <w:sz w:val="24"/>
                <w:szCs w:val="24"/>
              </w:rPr>
              <w:t>21</w:t>
            </w:r>
            <w:r>
              <w:rPr>
                <w:rStyle w:val="aa"/>
                <w:rFonts w:ascii="宋体" w:eastAsia="宋体" w:hAnsi="宋体" w:cs="宋体"/>
                <w:color w:val="auto"/>
                <w:sz w:val="24"/>
                <w:szCs w:val="24"/>
                <w:lang w:val="zh-TW" w:eastAsia="zh-TW"/>
              </w:rPr>
              <w:t>号</w:t>
            </w:r>
            <w:r>
              <w:rPr>
                <w:rStyle w:val="aa"/>
                <w:rFonts w:ascii="宋体" w:eastAsia="宋体" w:hAnsi="宋体"/>
                <w:color w:val="auto"/>
                <w:sz w:val="24"/>
                <w:szCs w:val="24"/>
              </w:rPr>
              <w:t>)</w:t>
            </w:r>
            <w:r>
              <w:rPr>
                <w:rStyle w:val="aa"/>
                <w:rFonts w:ascii="宋体" w:eastAsia="宋体" w:hAnsi="宋体" w:cs="宋体"/>
                <w:color w:val="auto"/>
                <w:sz w:val="24"/>
                <w:szCs w:val="24"/>
                <w:lang w:val="zh-TW" w:eastAsia="zh-TW"/>
              </w:rPr>
              <w:t>第四十七条   依法必须进行招标的项目，招标人应当自确定中标人之日起十五日内，向有关行政监督部门提交招标投标情况的书面报告。</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一般</w:t>
            </w:r>
          </w:p>
        </w:tc>
      </w:tr>
      <w:tr w:rsidR="00C40BEF">
        <w:trPr>
          <w:trHeight w:val="1652"/>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center"/>
              <w:rPr>
                <w:rFonts w:ascii="宋体" w:eastAsia="宋体" w:hAnsi="宋体" w:hint="default"/>
                <w:color w:val="auto"/>
              </w:rPr>
            </w:pPr>
            <w:r>
              <w:rPr>
                <w:rStyle w:val="aa"/>
                <w:rFonts w:ascii="宋体" w:eastAsia="宋体" w:hAnsi="宋体"/>
                <w:color w:val="auto"/>
                <w:sz w:val="24"/>
                <w:szCs w:val="24"/>
              </w:rPr>
              <w:t>17</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未向资格预审申请人发出资格预审结果通知书</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spacing w:line="240" w:lineRule="atLeast"/>
              <w:jc w:val="left"/>
              <w:rPr>
                <w:rStyle w:val="aa"/>
                <w:rFonts w:ascii="宋体" w:eastAsia="宋体" w:hAnsi="宋体" w:hint="default"/>
                <w:color w:val="auto"/>
                <w:sz w:val="24"/>
                <w:szCs w:val="24"/>
              </w:rPr>
            </w:pPr>
            <w:r>
              <w:rPr>
                <w:rStyle w:val="aa"/>
                <w:rFonts w:ascii="宋体" w:eastAsia="宋体" w:hAnsi="宋体" w:cs="宋体"/>
                <w:color w:val="auto"/>
                <w:sz w:val="24"/>
                <w:szCs w:val="24"/>
                <w:lang w:val="zh-TW" w:eastAsia="zh-TW"/>
              </w:rPr>
              <w:t>《中华人民共和国招标投标法实施条例》（国务院令第</w:t>
            </w:r>
            <w:r>
              <w:rPr>
                <w:rStyle w:val="aa"/>
                <w:rFonts w:ascii="宋体" w:eastAsia="宋体" w:hAnsi="宋体"/>
                <w:color w:val="auto"/>
                <w:sz w:val="24"/>
                <w:szCs w:val="24"/>
              </w:rPr>
              <w:t>613</w:t>
            </w:r>
            <w:r>
              <w:rPr>
                <w:rStyle w:val="aa"/>
                <w:rFonts w:ascii="宋体" w:eastAsia="宋体" w:hAnsi="宋体" w:cs="宋体"/>
                <w:color w:val="auto"/>
                <w:sz w:val="24"/>
                <w:szCs w:val="24"/>
                <w:lang w:val="zh-TW" w:eastAsia="zh-TW"/>
              </w:rPr>
              <w:t>号）第十九条  资格预审结束后，招标人应当及时向资格预审申请人发出资格预审结果通知书。未通过资格预审的申请人不具有投标资格。</w:t>
            </w:r>
          </w:p>
          <w:p w:rsidR="00C40BEF" w:rsidRDefault="003570E3">
            <w:pPr>
              <w:pStyle w:val="A0"/>
              <w:spacing w:after="240" w:line="240" w:lineRule="atLeast"/>
              <w:jc w:val="left"/>
              <w:rPr>
                <w:rFonts w:ascii="宋体" w:eastAsia="宋体" w:hAnsi="宋体" w:hint="default"/>
                <w:color w:val="auto"/>
              </w:rPr>
            </w:pPr>
            <w:r>
              <w:rPr>
                <w:rStyle w:val="aa"/>
                <w:rFonts w:ascii="宋体" w:eastAsia="宋体" w:hAnsi="宋体" w:cs="宋体"/>
                <w:color w:val="auto"/>
                <w:sz w:val="24"/>
                <w:szCs w:val="24"/>
                <w:lang w:val="zh-TW" w:eastAsia="zh-TW"/>
              </w:rPr>
              <w:t>通过资格预审的申请人少于</w:t>
            </w:r>
            <w:r>
              <w:rPr>
                <w:rStyle w:val="aa"/>
                <w:rFonts w:ascii="宋体" w:eastAsia="宋体" w:hAnsi="宋体"/>
                <w:color w:val="auto"/>
                <w:sz w:val="24"/>
                <w:szCs w:val="24"/>
              </w:rPr>
              <w:t>3</w:t>
            </w:r>
            <w:r>
              <w:rPr>
                <w:rStyle w:val="aa"/>
                <w:rFonts w:ascii="宋体" w:eastAsia="宋体" w:hAnsi="宋体" w:cs="宋体"/>
                <w:color w:val="auto"/>
                <w:sz w:val="24"/>
                <w:szCs w:val="24"/>
                <w:lang w:val="zh-TW" w:eastAsia="zh-TW"/>
              </w:rPr>
              <w:t>个的，应当重新招标。</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责令改正</w:t>
            </w:r>
          </w:p>
        </w:tc>
        <w:tc>
          <w:tcPr>
            <w:tcW w:w="1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BEF" w:rsidRDefault="003570E3">
            <w:pPr>
              <w:pStyle w:val="A0"/>
              <w:widowControl/>
              <w:spacing w:line="240" w:lineRule="atLeast"/>
              <w:rPr>
                <w:rFonts w:ascii="宋体" w:eastAsia="宋体" w:hAnsi="宋体" w:hint="default"/>
                <w:color w:val="auto"/>
              </w:rPr>
            </w:pPr>
            <w:r>
              <w:rPr>
                <w:rStyle w:val="aa"/>
                <w:rFonts w:ascii="宋体" w:eastAsia="宋体" w:hAnsi="宋体" w:cs="宋体"/>
                <w:color w:val="auto"/>
                <w:sz w:val="24"/>
                <w:szCs w:val="24"/>
                <w:lang w:val="zh-TW" w:eastAsia="zh-TW"/>
              </w:rPr>
              <w:t>一般</w:t>
            </w:r>
          </w:p>
        </w:tc>
      </w:tr>
    </w:tbl>
    <w:p w:rsidR="00C40BEF" w:rsidRDefault="00C40BEF">
      <w:pPr>
        <w:spacing w:line="240" w:lineRule="atLeast"/>
        <w:ind w:firstLineChars="200" w:firstLine="643"/>
        <w:rPr>
          <w:rFonts w:ascii="宋体" w:eastAsia="宋体" w:hAnsi="宋体"/>
          <w:b/>
          <w:sz w:val="32"/>
          <w:szCs w:val="32"/>
        </w:rPr>
      </w:pPr>
    </w:p>
    <w:p w:rsidR="00C40BEF" w:rsidRDefault="00C40BEF">
      <w:pPr>
        <w:spacing w:line="240" w:lineRule="atLeast"/>
        <w:ind w:firstLineChars="200" w:firstLine="643"/>
        <w:rPr>
          <w:rFonts w:ascii="宋体" w:eastAsia="宋体" w:hAnsi="宋体"/>
          <w:b/>
          <w:sz w:val="32"/>
          <w:szCs w:val="32"/>
        </w:rPr>
        <w:sectPr w:rsidR="00C40BEF">
          <w:pgSz w:w="11906" w:h="16838"/>
          <w:pgMar w:top="1134" w:right="851" w:bottom="1134" w:left="851" w:header="851" w:footer="907" w:gutter="0"/>
          <w:pgNumType w:fmt="numberInDash"/>
          <w:cols w:space="425"/>
          <w:docGrid w:type="lines" w:linePitch="312"/>
        </w:sectPr>
      </w:pPr>
    </w:p>
    <w:p w:rsidR="00C40BEF" w:rsidRDefault="003570E3">
      <w:pPr>
        <w:widowControl w:val="0"/>
        <w:snapToGrid/>
        <w:spacing w:after="0" w:line="560" w:lineRule="exact"/>
        <w:rPr>
          <w:rFonts w:ascii="黑体" w:eastAsia="黑体" w:hAnsi="黑体"/>
          <w:sz w:val="32"/>
          <w:szCs w:val="32"/>
        </w:rPr>
      </w:pPr>
      <w:r>
        <w:rPr>
          <w:rFonts w:ascii="黑体" w:eastAsia="黑体" w:hAnsi="黑体" w:hint="eastAsia"/>
          <w:sz w:val="32"/>
          <w:szCs w:val="32"/>
        </w:rPr>
        <w:lastRenderedPageBreak/>
        <w:t>附件5</w:t>
      </w:r>
    </w:p>
    <w:p w:rsidR="00C40BEF" w:rsidRDefault="00C40BEF">
      <w:pPr>
        <w:widowControl w:val="0"/>
        <w:snapToGrid/>
        <w:spacing w:after="0" w:line="560" w:lineRule="exact"/>
        <w:rPr>
          <w:rFonts w:ascii="黑体" w:eastAsia="黑体" w:hAnsi="黑体"/>
          <w:sz w:val="32"/>
          <w:szCs w:val="32"/>
        </w:rPr>
      </w:pPr>
    </w:p>
    <w:p w:rsidR="00C40BEF" w:rsidRDefault="003570E3">
      <w:pPr>
        <w:widowControl w:val="0"/>
        <w:snapToGrid/>
        <w:spacing w:after="0"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行业公约执行情况扣分标准</w:t>
      </w:r>
    </w:p>
    <w:p w:rsidR="00C40BEF" w:rsidRDefault="00C40BEF">
      <w:pPr>
        <w:widowControl w:val="0"/>
        <w:snapToGrid/>
        <w:spacing w:after="0" w:line="560" w:lineRule="exact"/>
        <w:ind w:firstLineChars="200" w:firstLine="640"/>
        <w:jc w:val="both"/>
        <w:rPr>
          <w:rFonts w:ascii="仿宋_GB2312" w:eastAsia="仿宋_GB2312" w:hAnsi="黑体" w:cs="Arial"/>
          <w:sz w:val="32"/>
          <w:szCs w:val="32"/>
        </w:rPr>
      </w:pPr>
    </w:p>
    <w:p w:rsidR="00C40BEF" w:rsidRDefault="003570E3">
      <w:pPr>
        <w:widowControl w:val="0"/>
        <w:snapToGrid/>
        <w:spacing w:after="0" w:line="560" w:lineRule="exact"/>
        <w:ind w:firstLineChars="200" w:firstLine="640"/>
        <w:jc w:val="both"/>
        <w:rPr>
          <w:rFonts w:ascii="黑体" w:eastAsia="黑体" w:hAnsi="黑体" w:cs="宋体"/>
          <w:sz w:val="32"/>
          <w:szCs w:val="32"/>
        </w:rPr>
      </w:pPr>
      <w:r>
        <w:rPr>
          <w:rFonts w:ascii="黑体" w:eastAsia="黑体" w:hAnsi="黑体" w:cs="Arial" w:hint="eastAsia"/>
          <w:sz w:val="32"/>
          <w:szCs w:val="32"/>
        </w:rPr>
        <w:t>一、下列为严重不良行为-20分/次：</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1、组织围标、暗箱操作、徇私舞弊、违法交易、收受贿赂；</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2、采取盲目压价、恶意竞争、合同外让利、签订阴阳合同等非正当手段承揽招标代理业务，包括同时向招标人和中标人收取代理费用或其他不合理费用、低于成本报价或零报价；</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3、泄露应当保密的与招投标活动有关的情况与资料；</w:t>
      </w:r>
    </w:p>
    <w:p w:rsidR="00C40BEF" w:rsidRDefault="003570E3">
      <w:pPr>
        <w:widowControl w:val="0"/>
        <w:snapToGrid/>
        <w:spacing w:after="0" w:line="560" w:lineRule="exact"/>
        <w:ind w:firstLineChars="200" w:firstLine="640"/>
        <w:jc w:val="both"/>
        <w:rPr>
          <w:rFonts w:ascii="黑体" w:eastAsia="黑体" w:hAnsi="黑体" w:cs="Arial"/>
          <w:sz w:val="32"/>
          <w:szCs w:val="32"/>
        </w:rPr>
      </w:pPr>
      <w:r>
        <w:rPr>
          <w:rFonts w:ascii="黑体" w:eastAsia="黑体" w:hAnsi="黑体" w:cs="Arial" w:hint="eastAsia"/>
          <w:sz w:val="32"/>
          <w:szCs w:val="32"/>
        </w:rPr>
        <w:t>二、下列为较重不良行为-10分/次：</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1、资格预审文件、招标文件发售价格明显高于补偿印刷、邮寄的成本支出；</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2、与行政机关和其他国家机关、投标人有隶属或其他利益关系；</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3、接受同一项目的招标代理和投标咨询两种业务；</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4、抄袭、盗用他人的业务成果或同行商业机密；</w:t>
      </w:r>
    </w:p>
    <w:p w:rsidR="00C40BEF" w:rsidRDefault="003570E3">
      <w:pPr>
        <w:widowControl w:val="0"/>
        <w:snapToGrid/>
        <w:spacing w:after="0" w:line="560" w:lineRule="exact"/>
        <w:ind w:firstLineChars="200" w:firstLine="640"/>
        <w:jc w:val="both"/>
        <w:rPr>
          <w:rFonts w:ascii="黑体" w:eastAsia="黑体" w:hAnsi="黑体" w:cs="Arial"/>
          <w:sz w:val="32"/>
          <w:szCs w:val="32"/>
        </w:rPr>
      </w:pPr>
      <w:r>
        <w:rPr>
          <w:rFonts w:ascii="黑体" w:eastAsia="黑体" w:hAnsi="黑体" w:cs="Arial" w:hint="eastAsia"/>
          <w:sz w:val="32"/>
          <w:szCs w:val="32"/>
        </w:rPr>
        <w:t>三、下列为一般不良行为-2分/次：</w:t>
      </w:r>
    </w:p>
    <w:p w:rsidR="00C40BEF" w:rsidRDefault="003570E3">
      <w:pPr>
        <w:widowControl w:val="0"/>
        <w:snapToGrid/>
        <w:spacing w:after="0" w:line="560" w:lineRule="exact"/>
        <w:ind w:firstLineChars="200" w:firstLine="640"/>
        <w:jc w:val="both"/>
        <w:rPr>
          <w:rFonts w:ascii="仿宋_GB2312" w:eastAsia="仿宋_GB2312" w:hAnsiTheme="majorEastAsia" w:cs="宋体"/>
          <w:sz w:val="32"/>
          <w:szCs w:val="32"/>
        </w:rPr>
      </w:pPr>
      <w:r>
        <w:rPr>
          <w:rFonts w:ascii="仿宋_GB2312" w:eastAsia="仿宋_GB2312" w:hAnsiTheme="majorEastAsia" w:cs="宋体" w:hint="eastAsia"/>
          <w:sz w:val="32"/>
          <w:szCs w:val="32"/>
        </w:rPr>
        <w:t>1、从业人员同时在两个或两个以上的招标代理机构从事招标代理工作；</w:t>
      </w:r>
    </w:p>
    <w:p w:rsidR="00C40BEF" w:rsidRDefault="003570E3">
      <w:pPr>
        <w:widowControl w:val="0"/>
        <w:snapToGrid/>
        <w:spacing w:after="0" w:line="560" w:lineRule="exact"/>
        <w:ind w:firstLineChars="200" w:firstLine="640"/>
        <w:jc w:val="both"/>
        <w:rPr>
          <w:rFonts w:ascii="宋体" w:eastAsia="宋体" w:hAnsi="宋体"/>
          <w:sz w:val="21"/>
          <w:szCs w:val="21"/>
        </w:rPr>
      </w:pPr>
      <w:r>
        <w:rPr>
          <w:rFonts w:ascii="仿宋_GB2312" w:eastAsia="仿宋_GB2312" w:hAnsiTheme="majorEastAsia" w:cs="宋体" w:hint="eastAsia"/>
          <w:sz w:val="32"/>
          <w:szCs w:val="32"/>
        </w:rPr>
        <w:t>2、为所代理工程项目指定承包商、分包商和材料、构配件、设备等供应商。</w:t>
      </w:r>
    </w:p>
    <w:sectPr w:rsidR="00C40BEF" w:rsidSect="00C40BEF">
      <w:pgSz w:w="11906" w:h="16838"/>
      <w:pgMar w:top="1701" w:right="1701" w:bottom="1701" w:left="170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D7" w:rsidRDefault="003417D7" w:rsidP="00C40BEF">
      <w:pPr>
        <w:spacing w:after="0"/>
      </w:pPr>
      <w:r>
        <w:separator/>
      </w:r>
    </w:p>
  </w:endnote>
  <w:endnote w:type="continuationSeparator" w:id="0">
    <w:p w:rsidR="003417D7" w:rsidRDefault="003417D7" w:rsidP="00C40B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8172767"/>
    </w:sdtPr>
    <w:sdtContent>
      <w:p w:rsidR="00C40BEF" w:rsidRDefault="00582798">
        <w:pPr>
          <w:pStyle w:val="a6"/>
          <w:rPr>
            <w:rFonts w:ascii="宋体" w:eastAsia="宋体" w:hAnsi="宋体"/>
            <w:sz w:val="28"/>
            <w:szCs w:val="28"/>
          </w:rPr>
        </w:pPr>
        <w:r>
          <w:rPr>
            <w:rFonts w:ascii="宋体" w:eastAsia="宋体" w:hAnsi="宋体"/>
            <w:sz w:val="28"/>
            <w:szCs w:val="28"/>
          </w:rPr>
          <w:fldChar w:fldCharType="begin"/>
        </w:r>
        <w:r w:rsidR="003570E3">
          <w:rPr>
            <w:rFonts w:ascii="宋体" w:eastAsia="宋体" w:hAnsi="宋体"/>
            <w:sz w:val="28"/>
            <w:szCs w:val="28"/>
          </w:rPr>
          <w:instrText xml:space="preserve"> PAGE   \* MERGEFORMAT </w:instrText>
        </w:r>
        <w:r>
          <w:rPr>
            <w:rFonts w:ascii="宋体" w:eastAsia="宋体" w:hAnsi="宋体"/>
            <w:sz w:val="28"/>
            <w:szCs w:val="28"/>
          </w:rPr>
          <w:fldChar w:fldCharType="separate"/>
        </w:r>
        <w:r w:rsidR="00B735B4" w:rsidRPr="00B735B4">
          <w:rPr>
            <w:rFonts w:ascii="宋体" w:eastAsia="宋体" w:hAnsi="宋体"/>
            <w:noProof/>
            <w:sz w:val="28"/>
            <w:szCs w:val="28"/>
            <w:lang w:val="zh-CN"/>
          </w:rPr>
          <w:t>-</w:t>
        </w:r>
        <w:r w:rsidR="00B735B4">
          <w:rPr>
            <w:rFonts w:ascii="宋体" w:eastAsia="宋体" w:hAnsi="宋体"/>
            <w:noProof/>
            <w:sz w:val="28"/>
            <w:szCs w:val="28"/>
          </w:rPr>
          <w:t xml:space="preserve"> 2 -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28172768"/>
    </w:sdtPr>
    <w:sdtContent>
      <w:p w:rsidR="00C40BEF" w:rsidRDefault="00582798">
        <w:pPr>
          <w:pStyle w:val="a6"/>
          <w:jc w:val="right"/>
          <w:rPr>
            <w:rFonts w:ascii="宋体" w:eastAsia="宋体" w:hAnsi="宋体"/>
            <w:sz w:val="28"/>
            <w:szCs w:val="28"/>
          </w:rPr>
        </w:pPr>
        <w:r>
          <w:rPr>
            <w:rFonts w:ascii="宋体" w:eastAsia="宋体" w:hAnsi="宋体"/>
            <w:sz w:val="28"/>
            <w:szCs w:val="28"/>
          </w:rPr>
          <w:fldChar w:fldCharType="begin"/>
        </w:r>
        <w:r w:rsidR="003570E3">
          <w:rPr>
            <w:rFonts w:ascii="宋体" w:eastAsia="宋体" w:hAnsi="宋体"/>
            <w:sz w:val="28"/>
            <w:szCs w:val="28"/>
          </w:rPr>
          <w:instrText xml:space="preserve"> PAGE   \* MERGEFORMAT </w:instrText>
        </w:r>
        <w:r>
          <w:rPr>
            <w:rFonts w:ascii="宋体" w:eastAsia="宋体" w:hAnsi="宋体"/>
            <w:sz w:val="28"/>
            <w:szCs w:val="28"/>
          </w:rPr>
          <w:fldChar w:fldCharType="separate"/>
        </w:r>
        <w:r w:rsidR="00B735B4" w:rsidRPr="00B735B4">
          <w:rPr>
            <w:rFonts w:ascii="宋体" w:eastAsia="宋体" w:hAnsi="宋体"/>
            <w:noProof/>
            <w:sz w:val="28"/>
            <w:szCs w:val="28"/>
            <w:lang w:val="zh-CN"/>
          </w:rPr>
          <w:t>-</w:t>
        </w:r>
        <w:r w:rsidR="00B735B4">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D7" w:rsidRDefault="003417D7" w:rsidP="00C40BEF">
      <w:pPr>
        <w:spacing w:after="0"/>
      </w:pPr>
      <w:r>
        <w:separator/>
      </w:r>
    </w:p>
  </w:footnote>
  <w:footnote w:type="continuationSeparator" w:id="0">
    <w:p w:rsidR="003417D7" w:rsidRDefault="003417D7" w:rsidP="00C40BEF">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杭">
    <w15:presenceInfo w15:providerId="None" w15:userId="秦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BE5"/>
    <w:rsid w:val="00004530"/>
    <w:rsid w:val="00005B7B"/>
    <w:rsid w:val="0000705B"/>
    <w:rsid w:val="00010B7A"/>
    <w:rsid w:val="0001103E"/>
    <w:rsid w:val="00016E24"/>
    <w:rsid w:val="00017504"/>
    <w:rsid w:val="00020286"/>
    <w:rsid w:val="00035DE4"/>
    <w:rsid w:val="00051F70"/>
    <w:rsid w:val="00060DE1"/>
    <w:rsid w:val="00085CDE"/>
    <w:rsid w:val="00090335"/>
    <w:rsid w:val="00090B41"/>
    <w:rsid w:val="00096317"/>
    <w:rsid w:val="000A16C7"/>
    <w:rsid w:val="000A26CF"/>
    <w:rsid w:val="000A35B1"/>
    <w:rsid w:val="000C04E6"/>
    <w:rsid w:val="000C397E"/>
    <w:rsid w:val="000C3ED8"/>
    <w:rsid w:val="000D20CA"/>
    <w:rsid w:val="000E168F"/>
    <w:rsid w:val="000E33F5"/>
    <w:rsid w:val="000E3F27"/>
    <w:rsid w:val="000E778E"/>
    <w:rsid w:val="00101350"/>
    <w:rsid w:val="001158B2"/>
    <w:rsid w:val="0012500F"/>
    <w:rsid w:val="001250A2"/>
    <w:rsid w:val="001314A7"/>
    <w:rsid w:val="0013786B"/>
    <w:rsid w:val="001461FC"/>
    <w:rsid w:val="00153245"/>
    <w:rsid w:val="00155181"/>
    <w:rsid w:val="00156F3D"/>
    <w:rsid w:val="00164117"/>
    <w:rsid w:val="00165AA8"/>
    <w:rsid w:val="00167AC2"/>
    <w:rsid w:val="00171123"/>
    <w:rsid w:val="00173AC6"/>
    <w:rsid w:val="00180960"/>
    <w:rsid w:val="0018249F"/>
    <w:rsid w:val="001934B6"/>
    <w:rsid w:val="00195084"/>
    <w:rsid w:val="001A6571"/>
    <w:rsid w:val="001B0A01"/>
    <w:rsid w:val="001C02EC"/>
    <w:rsid w:val="001C2166"/>
    <w:rsid w:val="001C4079"/>
    <w:rsid w:val="001C5D5E"/>
    <w:rsid w:val="001D3B4C"/>
    <w:rsid w:val="001D4C96"/>
    <w:rsid w:val="001D58C3"/>
    <w:rsid w:val="001E7E28"/>
    <w:rsid w:val="001F5345"/>
    <w:rsid w:val="002104ED"/>
    <w:rsid w:val="00216C0E"/>
    <w:rsid w:val="002261AB"/>
    <w:rsid w:val="00227A04"/>
    <w:rsid w:val="002330E1"/>
    <w:rsid w:val="0024226C"/>
    <w:rsid w:val="00250457"/>
    <w:rsid w:val="002517FD"/>
    <w:rsid w:val="002614DB"/>
    <w:rsid w:val="002626F8"/>
    <w:rsid w:val="00264BCC"/>
    <w:rsid w:val="00273B12"/>
    <w:rsid w:val="00275357"/>
    <w:rsid w:val="00276288"/>
    <w:rsid w:val="00276FD0"/>
    <w:rsid w:val="00290D34"/>
    <w:rsid w:val="00295763"/>
    <w:rsid w:val="002B0232"/>
    <w:rsid w:val="002B04C1"/>
    <w:rsid w:val="002B1FE3"/>
    <w:rsid w:val="002B375B"/>
    <w:rsid w:val="002B79F8"/>
    <w:rsid w:val="002C5A2A"/>
    <w:rsid w:val="002E5AE0"/>
    <w:rsid w:val="002F1788"/>
    <w:rsid w:val="00316DA9"/>
    <w:rsid w:val="003177D8"/>
    <w:rsid w:val="00321261"/>
    <w:rsid w:val="0033037F"/>
    <w:rsid w:val="00331C3D"/>
    <w:rsid w:val="00332297"/>
    <w:rsid w:val="003412A6"/>
    <w:rsid w:val="003417D7"/>
    <w:rsid w:val="00341B3F"/>
    <w:rsid w:val="00350C17"/>
    <w:rsid w:val="00353319"/>
    <w:rsid w:val="003570E3"/>
    <w:rsid w:val="00365775"/>
    <w:rsid w:val="0036604F"/>
    <w:rsid w:val="00366A91"/>
    <w:rsid w:val="00376C5A"/>
    <w:rsid w:val="00380935"/>
    <w:rsid w:val="0039446B"/>
    <w:rsid w:val="003A16A0"/>
    <w:rsid w:val="003B1188"/>
    <w:rsid w:val="003C1B39"/>
    <w:rsid w:val="003C642C"/>
    <w:rsid w:val="003D3B34"/>
    <w:rsid w:val="003F3973"/>
    <w:rsid w:val="003F7CC9"/>
    <w:rsid w:val="00403492"/>
    <w:rsid w:val="004070AD"/>
    <w:rsid w:val="00407DF1"/>
    <w:rsid w:val="004142B5"/>
    <w:rsid w:val="004178B5"/>
    <w:rsid w:val="004212AD"/>
    <w:rsid w:val="00425BFD"/>
    <w:rsid w:val="0042658B"/>
    <w:rsid w:val="004321F0"/>
    <w:rsid w:val="00433887"/>
    <w:rsid w:val="00433A03"/>
    <w:rsid w:val="00437698"/>
    <w:rsid w:val="004408B4"/>
    <w:rsid w:val="00440BB4"/>
    <w:rsid w:val="00450A58"/>
    <w:rsid w:val="00454666"/>
    <w:rsid w:val="00457EFE"/>
    <w:rsid w:val="00464E85"/>
    <w:rsid w:val="00467B88"/>
    <w:rsid w:val="00470782"/>
    <w:rsid w:val="00471905"/>
    <w:rsid w:val="00484F3E"/>
    <w:rsid w:val="004945BD"/>
    <w:rsid w:val="00497B4D"/>
    <w:rsid w:val="004A4595"/>
    <w:rsid w:val="004A59BA"/>
    <w:rsid w:val="004A7550"/>
    <w:rsid w:val="004C3FA6"/>
    <w:rsid w:val="004C4362"/>
    <w:rsid w:val="004C765E"/>
    <w:rsid w:val="004D03AB"/>
    <w:rsid w:val="004D0493"/>
    <w:rsid w:val="004E1981"/>
    <w:rsid w:val="004E4D9A"/>
    <w:rsid w:val="004F04BE"/>
    <w:rsid w:val="004F2184"/>
    <w:rsid w:val="004F431E"/>
    <w:rsid w:val="004F48E5"/>
    <w:rsid w:val="0050184D"/>
    <w:rsid w:val="00501E2F"/>
    <w:rsid w:val="00513336"/>
    <w:rsid w:val="005155CA"/>
    <w:rsid w:val="00526283"/>
    <w:rsid w:val="00536890"/>
    <w:rsid w:val="005368B6"/>
    <w:rsid w:val="00543536"/>
    <w:rsid w:val="0054512F"/>
    <w:rsid w:val="005457A4"/>
    <w:rsid w:val="00551D8C"/>
    <w:rsid w:val="00552BB0"/>
    <w:rsid w:val="00561015"/>
    <w:rsid w:val="0056782D"/>
    <w:rsid w:val="005713D9"/>
    <w:rsid w:val="00572F25"/>
    <w:rsid w:val="005758DE"/>
    <w:rsid w:val="00582798"/>
    <w:rsid w:val="005833BB"/>
    <w:rsid w:val="005C3D44"/>
    <w:rsid w:val="005D2BCD"/>
    <w:rsid w:val="005F5E35"/>
    <w:rsid w:val="005F5F77"/>
    <w:rsid w:val="00605D67"/>
    <w:rsid w:val="00606B14"/>
    <w:rsid w:val="00617763"/>
    <w:rsid w:val="00617B5B"/>
    <w:rsid w:val="006330AF"/>
    <w:rsid w:val="00633EDF"/>
    <w:rsid w:val="006359A9"/>
    <w:rsid w:val="00636308"/>
    <w:rsid w:val="0063697B"/>
    <w:rsid w:val="0063759B"/>
    <w:rsid w:val="006629D3"/>
    <w:rsid w:val="00670834"/>
    <w:rsid w:val="00674A0B"/>
    <w:rsid w:val="00676290"/>
    <w:rsid w:val="00682F37"/>
    <w:rsid w:val="006925D0"/>
    <w:rsid w:val="00695050"/>
    <w:rsid w:val="00697577"/>
    <w:rsid w:val="006A04E7"/>
    <w:rsid w:val="006A13DF"/>
    <w:rsid w:val="006A769A"/>
    <w:rsid w:val="006B321A"/>
    <w:rsid w:val="006B4F29"/>
    <w:rsid w:val="006C0133"/>
    <w:rsid w:val="006C0BD7"/>
    <w:rsid w:val="006D363D"/>
    <w:rsid w:val="006F1575"/>
    <w:rsid w:val="006F3FAB"/>
    <w:rsid w:val="006F7855"/>
    <w:rsid w:val="00702318"/>
    <w:rsid w:val="00707963"/>
    <w:rsid w:val="00715BE5"/>
    <w:rsid w:val="00716401"/>
    <w:rsid w:val="007245E1"/>
    <w:rsid w:val="007269FF"/>
    <w:rsid w:val="007273A9"/>
    <w:rsid w:val="00732373"/>
    <w:rsid w:val="00734D13"/>
    <w:rsid w:val="00752222"/>
    <w:rsid w:val="0076547A"/>
    <w:rsid w:val="0077110C"/>
    <w:rsid w:val="007771E4"/>
    <w:rsid w:val="00782EC5"/>
    <w:rsid w:val="0078736B"/>
    <w:rsid w:val="0079313F"/>
    <w:rsid w:val="007B3EAF"/>
    <w:rsid w:val="007B4BFA"/>
    <w:rsid w:val="007C254C"/>
    <w:rsid w:val="007D08E8"/>
    <w:rsid w:val="007F539A"/>
    <w:rsid w:val="007F60C9"/>
    <w:rsid w:val="008125A4"/>
    <w:rsid w:val="00817EA3"/>
    <w:rsid w:val="00825E2C"/>
    <w:rsid w:val="00830BC7"/>
    <w:rsid w:val="00832B02"/>
    <w:rsid w:val="0084256A"/>
    <w:rsid w:val="00855095"/>
    <w:rsid w:val="00864451"/>
    <w:rsid w:val="00864ABA"/>
    <w:rsid w:val="00865B1E"/>
    <w:rsid w:val="00866D14"/>
    <w:rsid w:val="008679AD"/>
    <w:rsid w:val="00870AF9"/>
    <w:rsid w:val="00872DDB"/>
    <w:rsid w:val="00880AB9"/>
    <w:rsid w:val="00880BE6"/>
    <w:rsid w:val="008828E3"/>
    <w:rsid w:val="0089114D"/>
    <w:rsid w:val="00893E25"/>
    <w:rsid w:val="00897825"/>
    <w:rsid w:val="008A2925"/>
    <w:rsid w:val="008A5191"/>
    <w:rsid w:val="008B571F"/>
    <w:rsid w:val="008C2901"/>
    <w:rsid w:val="008C2E33"/>
    <w:rsid w:val="008E1CA9"/>
    <w:rsid w:val="008E4B50"/>
    <w:rsid w:val="008E7023"/>
    <w:rsid w:val="008E7809"/>
    <w:rsid w:val="009129F8"/>
    <w:rsid w:val="00914C51"/>
    <w:rsid w:val="00951C74"/>
    <w:rsid w:val="00953977"/>
    <w:rsid w:val="00953B87"/>
    <w:rsid w:val="00955689"/>
    <w:rsid w:val="00957080"/>
    <w:rsid w:val="00964F1D"/>
    <w:rsid w:val="00965465"/>
    <w:rsid w:val="00973166"/>
    <w:rsid w:val="00974F3A"/>
    <w:rsid w:val="00983954"/>
    <w:rsid w:val="0098466A"/>
    <w:rsid w:val="00992047"/>
    <w:rsid w:val="009940E8"/>
    <w:rsid w:val="00996A13"/>
    <w:rsid w:val="009A24FB"/>
    <w:rsid w:val="009A2F02"/>
    <w:rsid w:val="009A4936"/>
    <w:rsid w:val="009A5808"/>
    <w:rsid w:val="009B79FD"/>
    <w:rsid w:val="009C6701"/>
    <w:rsid w:val="009D0570"/>
    <w:rsid w:val="009D6FE6"/>
    <w:rsid w:val="009E76B7"/>
    <w:rsid w:val="009F0F4B"/>
    <w:rsid w:val="009F674B"/>
    <w:rsid w:val="00A01DCC"/>
    <w:rsid w:val="00A31ADF"/>
    <w:rsid w:val="00A43EF3"/>
    <w:rsid w:val="00A44837"/>
    <w:rsid w:val="00A506D4"/>
    <w:rsid w:val="00A511E6"/>
    <w:rsid w:val="00A52318"/>
    <w:rsid w:val="00A528B5"/>
    <w:rsid w:val="00A55740"/>
    <w:rsid w:val="00A561F7"/>
    <w:rsid w:val="00A641F6"/>
    <w:rsid w:val="00A64A14"/>
    <w:rsid w:val="00A66AE1"/>
    <w:rsid w:val="00A66DDB"/>
    <w:rsid w:val="00A73417"/>
    <w:rsid w:val="00A8454D"/>
    <w:rsid w:val="00A92ACE"/>
    <w:rsid w:val="00A9385A"/>
    <w:rsid w:val="00A93992"/>
    <w:rsid w:val="00AA4CF3"/>
    <w:rsid w:val="00AA5300"/>
    <w:rsid w:val="00AB1351"/>
    <w:rsid w:val="00AB5D34"/>
    <w:rsid w:val="00AB610C"/>
    <w:rsid w:val="00AB7590"/>
    <w:rsid w:val="00AC39B2"/>
    <w:rsid w:val="00AC3AF9"/>
    <w:rsid w:val="00AC3B6F"/>
    <w:rsid w:val="00AC4D10"/>
    <w:rsid w:val="00AD0DED"/>
    <w:rsid w:val="00AD363A"/>
    <w:rsid w:val="00AD52B2"/>
    <w:rsid w:val="00AD5BF5"/>
    <w:rsid w:val="00AE0E89"/>
    <w:rsid w:val="00AF5744"/>
    <w:rsid w:val="00AF6C4D"/>
    <w:rsid w:val="00B06773"/>
    <w:rsid w:val="00B07D62"/>
    <w:rsid w:val="00B1063C"/>
    <w:rsid w:val="00B10AC8"/>
    <w:rsid w:val="00B22601"/>
    <w:rsid w:val="00B30E67"/>
    <w:rsid w:val="00B332A5"/>
    <w:rsid w:val="00B337C9"/>
    <w:rsid w:val="00B418E9"/>
    <w:rsid w:val="00B52923"/>
    <w:rsid w:val="00B537D5"/>
    <w:rsid w:val="00B53C1B"/>
    <w:rsid w:val="00B63C6B"/>
    <w:rsid w:val="00B647A1"/>
    <w:rsid w:val="00B72238"/>
    <w:rsid w:val="00B735B4"/>
    <w:rsid w:val="00B93026"/>
    <w:rsid w:val="00B93A59"/>
    <w:rsid w:val="00BB3E1F"/>
    <w:rsid w:val="00BB4CBA"/>
    <w:rsid w:val="00BB4D05"/>
    <w:rsid w:val="00BB7160"/>
    <w:rsid w:val="00BC5377"/>
    <w:rsid w:val="00BD08C9"/>
    <w:rsid w:val="00BD3AA1"/>
    <w:rsid w:val="00BD45AB"/>
    <w:rsid w:val="00BE0A2F"/>
    <w:rsid w:val="00BF5999"/>
    <w:rsid w:val="00C01300"/>
    <w:rsid w:val="00C03D88"/>
    <w:rsid w:val="00C05836"/>
    <w:rsid w:val="00C05B6A"/>
    <w:rsid w:val="00C22C7B"/>
    <w:rsid w:val="00C265A1"/>
    <w:rsid w:val="00C271C4"/>
    <w:rsid w:val="00C40BEF"/>
    <w:rsid w:val="00C431D3"/>
    <w:rsid w:val="00C44ED4"/>
    <w:rsid w:val="00C452BE"/>
    <w:rsid w:val="00C54410"/>
    <w:rsid w:val="00C6190B"/>
    <w:rsid w:val="00C6298A"/>
    <w:rsid w:val="00C63DA7"/>
    <w:rsid w:val="00C71B6A"/>
    <w:rsid w:val="00C774A9"/>
    <w:rsid w:val="00C94A81"/>
    <w:rsid w:val="00CA1EF1"/>
    <w:rsid w:val="00CB00AB"/>
    <w:rsid w:val="00CB0D32"/>
    <w:rsid w:val="00CB7D0D"/>
    <w:rsid w:val="00CB7D1B"/>
    <w:rsid w:val="00CB7E77"/>
    <w:rsid w:val="00CC3BA2"/>
    <w:rsid w:val="00CC3CA2"/>
    <w:rsid w:val="00CD0776"/>
    <w:rsid w:val="00CD2B1C"/>
    <w:rsid w:val="00CE33DA"/>
    <w:rsid w:val="00CE3577"/>
    <w:rsid w:val="00CF1BE4"/>
    <w:rsid w:val="00D04308"/>
    <w:rsid w:val="00D13747"/>
    <w:rsid w:val="00D149D7"/>
    <w:rsid w:val="00D14DFB"/>
    <w:rsid w:val="00D158A3"/>
    <w:rsid w:val="00D15D25"/>
    <w:rsid w:val="00D317A9"/>
    <w:rsid w:val="00D36763"/>
    <w:rsid w:val="00D4271D"/>
    <w:rsid w:val="00D442FA"/>
    <w:rsid w:val="00D45984"/>
    <w:rsid w:val="00D52326"/>
    <w:rsid w:val="00D57835"/>
    <w:rsid w:val="00D65714"/>
    <w:rsid w:val="00D66273"/>
    <w:rsid w:val="00D74039"/>
    <w:rsid w:val="00D76FFD"/>
    <w:rsid w:val="00D83E87"/>
    <w:rsid w:val="00D87FE7"/>
    <w:rsid w:val="00D9324E"/>
    <w:rsid w:val="00D934E6"/>
    <w:rsid w:val="00DA0344"/>
    <w:rsid w:val="00DA434B"/>
    <w:rsid w:val="00DA46D1"/>
    <w:rsid w:val="00DA61D8"/>
    <w:rsid w:val="00DB32A3"/>
    <w:rsid w:val="00DC1280"/>
    <w:rsid w:val="00DC50C6"/>
    <w:rsid w:val="00DD10C0"/>
    <w:rsid w:val="00DD4A45"/>
    <w:rsid w:val="00DD64A9"/>
    <w:rsid w:val="00DD6AEB"/>
    <w:rsid w:val="00DF0224"/>
    <w:rsid w:val="00DF053C"/>
    <w:rsid w:val="00DF1995"/>
    <w:rsid w:val="00DF3AA1"/>
    <w:rsid w:val="00DF4B3C"/>
    <w:rsid w:val="00DF6A86"/>
    <w:rsid w:val="00DF7DBD"/>
    <w:rsid w:val="00E03228"/>
    <w:rsid w:val="00E10329"/>
    <w:rsid w:val="00E129C6"/>
    <w:rsid w:val="00E145ED"/>
    <w:rsid w:val="00E23C18"/>
    <w:rsid w:val="00E402DB"/>
    <w:rsid w:val="00E421AE"/>
    <w:rsid w:val="00E45511"/>
    <w:rsid w:val="00E46D4C"/>
    <w:rsid w:val="00E47A83"/>
    <w:rsid w:val="00E50340"/>
    <w:rsid w:val="00E538F0"/>
    <w:rsid w:val="00E54A49"/>
    <w:rsid w:val="00E635C2"/>
    <w:rsid w:val="00E71247"/>
    <w:rsid w:val="00E84561"/>
    <w:rsid w:val="00E95FA7"/>
    <w:rsid w:val="00E962DD"/>
    <w:rsid w:val="00EA10F3"/>
    <w:rsid w:val="00EA618F"/>
    <w:rsid w:val="00EB2134"/>
    <w:rsid w:val="00EB512E"/>
    <w:rsid w:val="00EC203E"/>
    <w:rsid w:val="00EC36F4"/>
    <w:rsid w:val="00EC7538"/>
    <w:rsid w:val="00EF40D7"/>
    <w:rsid w:val="00F01772"/>
    <w:rsid w:val="00F122AB"/>
    <w:rsid w:val="00F13A84"/>
    <w:rsid w:val="00F20461"/>
    <w:rsid w:val="00F224AA"/>
    <w:rsid w:val="00F27E30"/>
    <w:rsid w:val="00F3273E"/>
    <w:rsid w:val="00F42920"/>
    <w:rsid w:val="00F4614C"/>
    <w:rsid w:val="00F463B3"/>
    <w:rsid w:val="00F702C6"/>
    <w:rsid w:val="00F73475"/>
    <w:rsid w:val="00F75A79"/>
    <w:rsid w:val="00F904C2"/>
    <w:rsid w:val="00F90F00"/>
    <w:rsid w:val="00F92124"/>
    <w:rsid w:val="00F9443F"/>
    <w:rsid w:val="00FA1B0F"/>
    <w:rsid w:val="00FA1CA5"/>
    <w:rsid w:val="00FA3B46"/>
    <w:rsid w:val="00FA5539"/>
    <w:rsid w:val="00FB2409"/>
    <w:rsid w:val="00FD2370"/>
    <w:rsid w:val="00FD61AA"/>
    <w:rsid w:val="00FD791C"/>
    <w:rsid w:val="00FE6395"/>
    <w:rsid w:val="00FE689F"/>
    <w:rsid w:val="00FF5F68"/>
    <w:rsid w:val="11A439FF"/>
    <w:rsid w:val="2DAB4452"/>
    <w:rsid w:val="5F5413C4"/>
    <w:rsid w:val="7A20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EF"/>
    <w:pPr>
      <w:adjustRightInd w:val="0"/>
      <w:snapToGrid w:val="0"/>
      <w:spacing w:after="200"/>
    </w:pPr>
    <w:rPr>
      <w:rFonts w:ascii="Tahoma" w:hAnsi="Tahoma"/>
      <w:sz w:val="22"/>
      <w:szCs w:val="22"/>
    </w:rPr>
  </w:style>
  <w:style w:type="paragraph" w:styleId="2">
    <w:name w:val="heading 2"/>
    <w:basedOn w:val="a"/>
    <w:next w:val="a"/>
    <w:link w:val="2Char"/>
    <w:uiPriority w:val="9"/>
    <w:qFormat/>
    <w:rsid w:val="00C40BEF"/>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next w:val="A0"/>
    <w:link w:val="3Char"/>
    <w:qFormat/>
    <w:rsid w:val="00C40BEF"/>
    <w:pPr>
      <w:keepNext/>
      <w:keepLines/>
      <w:widowControl w:val="0"/>
      <w:spacing w:before="260" w:after="260" w:line="416" w:lineRule="auto"/>
      <w:jc w:val="both"/>
      <w:outlineLvl w:val="2"/>
    </w:pPr>
    <w:rPr>
      <w:rFonts w:ascii="Times New Roman" w:eastAsia="Times New Roman" w:hAnsi="Times New Roman" w:cs="Times New Roman"/>
      <w:b/>
      <w:bCs/>
      <w:color w:val="000000"/>
      <w:kern w:val="2"/>
      <w:sz w:val="32"/>
      <w:szCs w:val="32"/>
      <w:u w:color="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qFormat/>
    <w:rsid w:val="00C40BEF"/>
    <w:pPr>
      <w:widowControl w:val="0"/>
      <w:jc w:val="both"/>
    </w:pPr>
    <w:rPr>
      <w:rFonts w:ascii="Arial Unicode MS" w:eastAsia="Arial Unicode MS" w:hAnsi="Arial Unicode MS" w:cs="Arial Unicode MS" w:hint="eastAsia"/>
      <w:color w:val="000000"/>
      <w:kern w:val="2"/>
      <w:sz w:val="21"/>
      <w:szCs w:val="21"/>
      <w:u w:color="000000"/>
    </w:rPr>
  </w:style>
  <w:style w:type="paragraph" w:styleId="a4">
    <w:name w:val="Date"/>
    <w:basedOn w:val="a"/>
    <w:next w:val="a"/>
    <w:link w:val="Char"/>
    <w:uiPriority w:val="99"/>
    <w:semiHidden/>
    <w:unhideWhenUsed/>
    <w:qFormat/>
    <w:rsid w:val="00C40BEF"/>
    <w:pPr>
      <w:ind w:leftChars="2500" w:left="100"/>
    </w:pPr>
  </w:style>
  <w:style w:type="paragraph" w:styleId="a5">
    <w:name w:val="Balloon Text"/>
    <w:basedOn w:val="a"/>
    <w:link w:val="Char0"/>
    <w:uiPriority w:val="99"/>
    <w:semiHidden/>
    <w:unhideWhenUsed/>
    <w:qFormat/>
    <w:rsid w:val="00C40BEF"/>
    <w:pPr>
      <w:spacing w:after="0"/>
    </w:pPr>
    <w:rPr>
      <w:sz w:val="18"/>
      <w:szCs w:val="18"/>
    </w:rPr>
  </w:style>
  <w:style w:type="paragraph" w:styleId="a6">
    <w:name w:val="footer"/>
    <w:basedOn w:val="a"/>
    <w:link w:val="Char1"/>
    <w:uiPriority w:val="99"/>
    <w:unhideWhenUsed/>
    <w:qFormat/>
    <w:rsid w:val="00C40BEF"/>
    <w:pPr>
      <w:tabs>
        <w:tab w:val="center" w:pos="4153"/>
        <w:tab w:val="right" w:pos="8306"/>
      </w:tabs>
    </w:pPr>
    <w:rPr>
      <w:sz w:val="18"/>
      <w:szCs w:val="18"/>
    </w:rPr>
  </w:style>
  <w:style w:type="paragraph" w:styleId="a7">
    <w:name w:val="header"/>
    <w:basedOn w:val="a"/>
    <w:link w:val="Char2"/>
    <w:uiPriority w:val="99"/>
    <w:semiHidden/>
    <w:unhideWhenUsed/>
    <w:qFormat/>
    <w:rsid w:val="00C40BEF"/>
    <w:pPr>
      <w:pBdr>
        <w:bottom w:val="single" w:sz="6" w:space="1" w:color="auto"/>
      </w:pBdr>
      <w:tabs>
        <w:tab w:val="center" w:pos="4153"/>
        <w:tab w:val="right" w:pos="8306"/>
      </w:tabs>
      <w:jc w:val="center"/>
    </w:pPr>
    <w:rPr>
      <w:sz w:val="18"/>
      <w:szCs w:val="18"/>
    </w:rPr>
  </w:style>
  <w:style w:type="character" w:styleId="a8">
    <w:name w:val="Emphasis"/>
    <w:basedOn w:val="a1"/>
    <w:uiPriority w:val="20"/>
    <w:qFormat/>
    <w:rsid w:val="00C40BEF"/>
    <w:rPr>
      <w:i/>
      <w:iCs/>
    </w:rPr>
  </w:style>
  <w:style w:type="character" w:customStyle="1" w:styleId="2Char">
    <w:name w:val="标题 2 Char"/>
    <w:basedOn w:val="a1"/>
    <w:link w:val="2"/>
    <w:uiPriority w:val="9"/>
    <w:qFormat/>
    <w:rsid w:val="00C40BEF"/>
    <w:rPr>
      <w:rFonts w:ascii="宋体" w:eastAsia="宋体" w:hAnsi="宋体" w:cs="宋体"/>
      <w:b/>
      <w:bCs/>
      <w:sz w:val="36"/>
      <w:szCs w:val="36"/>
    </w:rPr>
  </w:style>
  <w:style w:type="character" w:customStyle="1" w:styleId="Char2">
    <w:name w:val="页眉 Char"/>
    <w:basedOn w:val="a1"/>
    <w:link w:val="a7"/>
    <w:uiPriority w:val="99"/>
    <w:semiHidden/>
    <w:qFormat/>
    <w:rsid w:val="00C40BEF"/>
    <w:rPr>
      <w:rFonts w:ascii="Tahoma" w:hAnsi="Tahoma"/>
      <w:sz w:val="18"/>
      <w:szCs w:val="18"/>
    </w:rPr>
  </w:style>
  <w:style w:type="character" w:customStyle="1" w:styleId="Char1">
    <w:name w:val="页脚 Char"/>
    <w:basedOn w:val="a1"/>
    <w:link w:val="a6"/>
    <w:uiPriority w:val="99"/>
    <w:qFormat/>
    <w:rsid w:val="00C40BEF"/>
    <w:rPr>
      <w:rFonts w:ascii="Tahoma" w:hAnsi="Tahoma"/>
      <w:sz w:val="18"/>
      <w:szCs w:val="18"/>
    </w:rPr>
  </w:style>
  <w:style w:type="character" w:customStyle="1" w:styleId="Char">
    <w:name w:val="日期 Char"/>
    <w:basedOn w:val="a1"/>
    <w:link w:val="a4"/>
    <w:uiPriority w:val="99"/>
    <w:semiHidden/>
    <w:qFormat/>
    <w:rsid w:val="00C40BEF"/>
    <w:rPr>
      <w:rFonts w:ascii="Tahoma" w:hAnsi="Tahoma"/>
    </w:rPr>
  </w:style>
  <w:style w:type="character" w:customStyle="1" w:styleId="Char0">
    <w:name w:val="批注框文本 Char"/>
    <w:basedOn w:val="a1"/>
    <w:link w:val="a5"/>
    <w:uiPriority w:val="99"/>
    <w:semiHidden/>
    <w:qFormat/>
    <w:rsid w:val="00C40BEF"/>
    <w:rPr>
      <w:rFonts w:ascii="Tahoma" w:hAnsi="Tahoma"/>
      <w:sz w:val="18"/>
      <w:szCs w:val="18"/>
    </w:rPr>
  </w:style>
  <w:style w:type="paragraph" w:styleId="a9">
    <w:name w:val="List Paragraph"/>
    <w:basedOn w:val="a"/>
    <w:uiPriority w:val="99"/>
    <w:unhideWhenUsed/>
    <w:qFormat/>
    <w:rsid w:val="00C40BEF"/>
    <w:pPr>
      <w:ind w:firstLineChars="200" w:firstLine="420"/>
    </w:pPr>
  </w:style>
  <w:style w:type="character" w:customStyle="1" w:styleId="aa">
    <w:name w:val="无"/>
    <w:qFormat/>
    <w:rsid w:val="00C40BEF"/>
  </w:style>
  <w:style w:type="character" w:customStyle="1" w:styleId="3Char">
    <w:name w:val="标题 3 Char"/>
    <w:basedOn w:val="a1"/>
    <w:link w:val="3"/>
    <w:qFormat/>
    <w:rsid w:val="00C40BEF"/>
    <w:rPr>
      <w:rFonts w:ascii="Times New Roman" w:eastAsia="Times New Roman" w:hAnsi="Times New Roman" w:cs="Times New Roman"/>
      <w:b/>
      <w:bCs/>
      <w:color w:val="000000"/>
      <w:kern w:val="2"/>
      <w:sz w:val="32"/>
      <w:szCs w:val="32"/>
      <w:u w:color="000000"/>
    </w:rPr>
  </w:style>
  <w:style w:type="table" w:customStyle="1" w:styleId="TableNormal">
    <w:name w:val="Table Normal"/>
    <w:qFormat/>
    <w:rsid w:val="00C40BEF"/>
    <w:rPr>
      <w:rFonts w:ascii="Times New Roman" w:eastAsiaTheme="minorEastAsia" w:hAnsi="Times New Roman"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DCA03-8F13-4926-8E16-A9B5EE96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20</Pages>
  <Words>1723</Words>
  <Characters>9824</Characters>
  <Application>Microsoft Office Word</Application>
  <DocSecurity>0</DocSecurity>
  <Lines>81</Lines>
  <Paragraphs>23</Paragraphs>
  <ScaleCrop>false</ScaleCrop>
  <Company>Microsoft</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庄静</dc:creator>
  <cp:lastModifiedBy>秦杭</cp:lastModifiedBy>
  <cp:revision>220</cp:revision>
  <cp:lastPrinted>2018-11-22T02:23:00Z</cp:lastPrinted>
  <dcterms:created xsi:type="dcterms:W3CDTF">2018-11-19T01:47:00Z</dcterms:created>
  <dcterms:modified xsi:type="dcterms:W3CDTF">2018-11-28T00:57:00Z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