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756F5">
      <w:pPr>
        <w:pStyle w:val="4"/>
        <w:spacing w:line="360" w:lineRule="auto"/>
        <w:jc w:val="center"/>
        <w:rPr>
          <w:rFonts w:ascii="黑体" w:hAnsi="黑体" w:eastAsia="黑体"/>
          <w:b w:val="0"/>
        </w:rPr>
      </w:pPr>
      <w:r>
        <w:rPr>
          <w:rFonts w:hint="eastAsia" w:ascii="黑体" w:hAnsi="黑体" w:eastAsia="黑体"/>
          <w:b w:val="0"/>
        </w:rPr>
        <w:t>第四章  采购需求</w:t>
      </w:r>
    </w:p>
    <w:p w14:paraId="5017B0F1">
      <w:pPr>
        <w:spacing w:line="500" w:lineRule="exact"/>
        <w:ind w:firstLine="480"/>
        <w:jc w:val="left"/>
        <w:rPr>
          <w:sz w:val="24"/>
          <w:szCs w:val="24"/>
        </w:rPr>
      </w:pPr>
      <w:r>
        <w:rPr>
          <w:rFonts w:hint="eastAsia"/>
          <w:sz w:val="24"/>
          <w:szCs w:val="24"/>
        </w:rPr>
        <w:t>说明：本项目属性为服务，采购标的对应的中小企业划分标准所属行业为：</w:t>
      </w:r>
      <w:r>
        <w:rPr>
          <w:rFonts w:hint="eastAsia"/>
          <w:sz w:val="24"/>
          <w:szCs w:val="24"/>
          <w:u w:val="single"/>
          <w:lang w:val="en-US" w:eastAsia="zh-CN"/>
        </w:rPr>
        <w:t>物业管理</w:t>
      </w:r>
      <w:r>
        <w:rPr>
          <w:rFonts w:hint="eastAsia"/>
          <w:sz w:val="24"/>
          <w:szCs w:val="24"/>
        </w:rPr>
        <w:t>。</w:t>
      </w:r>
    </w:p>
    <w:p w14:paraId="01B6E686">
      <w:pPr>
        <w:spacing w:line="360" w:lineRule="auto"/>
        <w:ind w:firstLine="480"/>
        <w:jc w:val="left"/>
        <w:rPr>
          <w:sz w:val="24"/>
          <w:szCs w:val="24"/>
        </w:rPr>
      </w:pPr>
      <w:r>
        <w:rPr>
          <w:rFonts w:hint="eastAsia"/>
          <w:sz w:val="24"/>
          <w:szCs w:val="24"/>
        </w:rPr>
        <w:t>按照《关于印发中小企业划型标准规定的通知》（</w:t>
      </w:r>
      <w:r>
        <w:rPr>
          <w:sz w:val="24"/>
          <w:szCs w:val="24"/>
        </w:rPr>
        <w:t>工信部联企业〔2011〕300号</w:t>
      </w:r>
      <w:r>
        <w:rPr>
          <w:rFonts w:hint="eastAsia"/>
          <w:sz w:val="24"/>
          <w:szCs w:val="24"/>
        </w:rPr>
        <w:t>）规定</w:t>
      </w:r>
      <w:r>
        <w:rPr>
          <w:rFonts w:hint="eastAsia"/>
          <w:sz w:val="24"/>
          <w:szCs w:val="24"/>
          <w:lang w:eastAsia="zh-CN"/>
        </w:rPr>
        <w:t>。</w:t>
      </w:r>
      <w:r>
        <w:rPr>
          <w:rFonts w:hint="eastAsia" w:ascii="宋体" w:hAnsi="宋体" w:eastAsia="宋体" w:cs="宋体"/>
          <w:i w:val="0"/>
          <w:iCs w:val="0"/>
          <w:caps w:val="0"/>
          <w:color w:val="000000"/>
          <w:spacing w:val="0"/>
          <w:sz w:val="24"/>
          <w:szCs w:val="24"/>
          <w:shd w:val="clear" w:fill="FFFFFF"/>
        </w:rPr>
        <w:t>物业管理</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BA5252">
      <w:pPr>
        <w:spacing w:line="500" w:lineRule="exact"/>
        <w:ind w:firstLine="480"/>
        <w:jc w:val="left"/>
        <w:rPr>
          <w:sz w:val="24"/>
          <w:szCs w:val="24"/>
        </w:rPr>
      </w:pPr>
      <w:r>
        <w:rPr>
          <w:rFonts w:hint="eastAsia"/>
          <w:sz w:val="24"/>
          <w:szCs w:val="24"/>
        </w:rPr>
        <w:t>1、根据《政府采购需求管理办法》等有关规定，征集人确定采购需求。</w:t>
      </w:r>
    </w:p>
    <w:p w14:paraId="40F25868">
      <w:pPr>
        <w:spacing w:line="500" w:lineRule="exact"/>
        <w:ind w:firstLine="480"/>
        <w:jc w:val="left"/>
        <w:rPr>
          <w:sz w:val="24"/>
          <w:szCs w:val="24"/>
        </w:rPr>
      </w:pPr>
      <w:r>
        <w:rPr>
          <w:rFonts w:hint="eastAsia"/>
          <w:sz w:val="24"/>
          <w:szCs w:val="24"/>
        </w:rPr>
        <w:t>2、</w:t>
      </w:r>
      <w:r>
        <w:rPr>
          <w:rFonts w:hint="eastAsia"/>
          <w:b/>
          <w:sz w:val="24"/>
          <w:szCs w:val="24"/>
        </w:rPr>
        <w:t>本征集文件中</w:t>
      </w:r>
      <w:r>
        <w:rPr>
          <w:rFonts w:hint="eastAsia"/>
          <w:b/>
          <w:i/>
          <w:color w:val="FF0000"/>
          <w:sz w:val="24"/>
          <w:szCs w:val="24"/>
          <w:u w:val="single"/>
        </w:rPr>
        <w:t>斜体且有下划线部分</w:t>
      </w:r>
      <w:r>
        <w:rPr>
          <w:rFonts w:hint="eastAsia"/>
          <w:b/>
          <w:sz w:val="24"/>
          <w:szCs w:val="24"/>
        </w:rPr>
        <w:t>为实质性要求和条件</w:t>
      </w:r>
      <w:r>
        <w:rPr>
          <w:rFonts w:hint="eastAsia"/>
          <w:sz w:val="24"/>
          <w:szCs w:val="24"/>
        </w:rPr>
        <w:t>，由征集人根据实际情况设置，供应商须逐条明确作出满足实质性要求和条件的响应，否则将按无效响应处理。</w:t>
      </w:r>
    </w:p>
    <w:p w14:paraId="25DCF169">
      <w:pPr>
        <w:pStyle w:val="12"/>
        <w:rPr>
          <w:rFonts w:eastAsiaTheme="minorEastAsia"/>
        </w:rPr>
      </w:pPr>
    </w:p>
    <w:p w14:paraId="26DD9385">
      <w:pPr>
        <w:pStyle w:val="5"/>
        <w:numPr>
          <w:ilvl w:val="1"/>
          <w:numId w:val="0"/>
        </w:numPr>
        <w:spacing w:before="0" w:after="0" w:line="360" w:lineRule="auto"/>
        <w:ind w:firstLine="480"/>
        <w:jc w:val="left"/>
        <w:rPr>
          <w:rFonts w:ascii="黑体" w:hAnsi="黑体" w:eastAsia="黑体" w:cs="宋体"/>
          <w:b w:val="0"/>
          <w:bCs w:val="0"/>
          <w:color w:val="000000"/>
          <w:sz w:val="24"/>
          <w:szCs w:val="24"/>
        </w:rPr>
      </w:pPr>
      <w:r>
        <w:rPr>
          <w:rFonts w:hint="eastAsia" w:ascii="黑体" w:hAnsi="黑体" w:eastAsia="黑体" w:cs="宋体"/>
          <w:b w:val="0"/>
          <w:color w:val="000000"/>
          <w:sz w:val="24"/>
          <w:szCs w:val="24"/>
        </w:rPr>
        <w:t>一、项目基本情况</w:t>
      </w:r>
    </w:p>
    <w:p w14:paraId="3FEDB460">
      <w:pPr>
        <w:spacing w:line="360" w:lineRule="auto"/>
        <w:ind w:firstLine="480"/>
        <w:jc w:val="left"/>
        <w:rPr>
          <w:rFonts w:ascii="宋体" w:hAnsi="宋体" w:eastAsia="宋体" w:cs="仿宋"/>
          <w:color w:val="000000"/>
          <w:sz w:val="24"/>
          <w:szCs w:val="24"/>
          <w:highlight w:val="none"/>
          <w:u w:val="single"/>
        </w:rPr>
      </w:pPr>
      <w:r>
        <w:rPr>
          <w:rFonts w:hint="eastAsia" w:ascii="宋体" w:hAnsi="宋体" w:eastAsia="宋体" w:cs="Times New Roman"/>
          <w:bCs/>
          <w:color w:val="000000"/>
          <w:sz w:val="24"/>
          <w:szCs w:val="24"/>
        </w:rPr>
        <w:t>1.适用本次框架协议的采购人：</w:t>
      </w:r>
      <w:r>
        <w:rPr>
          <w:rFonts w:hint="eastAsia" w:ascii="宋体" w:hAnsi="宋体" w:eastAsia="宋体" w:cs="Times New Roman"/>
          <w:bCs/>
          <w:color w:val="000000"/>
          <w:sz w:val="24"/>
          <w:szCs w:val="24"/>
          <w:highlight w:val="none"/>
        </w:rPr>
        <w:t>连云港市本级</w:t>
      </w:r>
      <w:r>
        <w:rPr>
          <w:rFonts w:hint="eastAsia" w:ascii="宋体" w:hAnsi="宋体" w:eastAsia="宋体" w:cs="Times New Roman"/>
          <w:color w:val="000000"/>
          <w:sz w:val="24"/>
          <w:szCs w:val="24"/>
        </w:rPr>
        <w:t>、海州区、连云区、开发区、云台山景区、高新区、徐圩新区</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待定</w:t>
      </w:r>
      <w:r>
        <w:rPr>
          <w:rFonts w:hint="eastAsia" w:ascii="宋体" w:hAnsi="宋体" w:eastAsia="宋体" w:cs="Times New Roman"/>
          <w:color w:val="000000"/>
          <w:sz w:val="24"/>
          <w:szCs w:val="24"/>
          <w:lang w:eastAsia="zh-CN"/>
        </w:rPr>
        <w:t>）</w:t>
      </w:r>
      <w:r>
        <w:rPr>
          <w:rFonts w:hint="eastAsia" w:ascii="宋体" w:hAnsi="宋体" w:eastAsia="宋体" w:cs="Times New Roman"/>
          <w:bCs/>
          <w:color w:val="000000"/>
          <w:sz w:val="24"/>
          <w:szCs w:val="24"/>
          <w:highlight w:val="none"/>
        </w:rPr>
        <w:t>各级</w:t>
      </w:r>
      <w:r>
        <w:rPr>
          <w:rFonts w:hint="eastAsia" w:ascii="宋体" w:hAnsi="宋体" w:eastAsia="宋体" w:cs="Times New Roman"/>
          <w:bCs/>
          <w:color w:val="000000"/>
          <w:sz w:val="24"/>
          <w:szCs w:val="24"/>
          <w:highlight w:val="none"/>
          <w:lang w:val="en-US" w:eastAsia="zh-CN"/>
        </w:rPr>
        <w:t>国家</w:t>
      </w:r>
      <w:r>
        <w:rPr>
          <w:rFonts w:hint="eastAsia" w:ascii="宋体" w:hAnsi="宋体" w:eastAsia="宋体" w:cs="Times New Roman"/>
          <w:bCs/>
          <w:color w:val="000000"/>
          <w:sz w:val="24"/>
          <w:szCs w:val="24"/>
          <w:highlight w:val="none"/>
        </w:rPr>
        <w:t>机关、事业单位和团体组织</w:t>
      </w:r>
      <w:r>
        <w:rPr>
          <w:rFonts w:hint="eastAsia" w:ascii="宋体" w:hAnsi="宋体" w:eastAsia="宋体" w:cs="Times New Roman"/>
          <w:bCs/>
          <w:color w:val="000000"/>
          <w:sz w:val="24"/>
          <w:szCs w:val="24"/>
          <w:highlight w:val="none"/>
          <w:lang w:eastAsia="zh-CN"/>
        </w:rPr>
        <w:t>。</w:t>
      </w:r>
    </w:p>
    <w:p w14:paraId="715F1C5D">
      <w:pPr>
        <w:spacing w:line="360" w:lineRule="auto"/>
        <w:ind w:firstLine="480"/>
        <w:jc w:val="left"/>
        <w:rPr>
          <w:rFonts w:hint="eastAsia" w:ascii="宋体" w:hAnsi="宋体" w:eastAsia="宋体" w:cs="Times New Roman"/>
          <w:i w:val="0"/>
          <w:iCs/>
          <w:color w:val="000000"/>
          <w:sz w:val="24"/>
          <w:szCs w:val="24"/>
          <w:u w:val="none"/>
        </w:rPr>
      </w:pPr>
      <w:r>
        <w:rPr>
          <w:rFonts w:hint="eastAsia" w:ascii="宋体" w:hAnsi="宋体" w:eastAsia="宋体" w:cs="Times New Roman"/>
          <w:i w:val="0"/>
          <w:iCs/>
          <w:color w:val="000000"/>
          <w:sz w:val="24"/>
          <w:szCs w:val="24"/>
          <w:u w:val="none"/>
        </w:rPr>
        <w:t>2.框架协议的期限：自协议签订之日起至</w:t>
      </w:r>
      <w:r>
        <w:rPr>
          <w:rFonts w:hint="eastAsia" w:ascii="宋体" w:hAnsi="宋体" w:eastAsia="宋体" w:cs="Times New Roman"/>
          <w:i w:val="0"/>
          <w:iCs/>
          <w:color w:val="000000"/>
          <w:sz w:val="24"/>
          <w:szCs w:val="24"/>
          <w:u w:val="none"/>
          <w:lang w:val="en-US" w:eastAsia="zh-CN"/>
        </w:rPr>
        <w:t>xxxx</w:t>
      </w:r>
      <w:r>
        <w:rPr>
          <w:rFonts w:hint="eastAsia" w:ascii="宋体" w:hAnsi="宋体" w:eastAsia="宋体" w:cs="Times New Roman"/>
          <w:i w:val="0"/>
          <w:iCs/>
          <w:color w:val="000000"/>
          <w:sz w:val="24"/>
          <w:szCs w:val="24"/>
          <w:u w:val="none"/>
        </w:rPr>
        <w:t>年</w:t>
      </w:r>
      <w:r>
        <w:rPr>
          <w:rFonts w:hint="eastAsia" w:ascii="宋体" w:hAnsi="宋体" w:eastAsia="宋体" w:cs="Times New Roman"/>
          <w:i w:val="0"/>
          <w:iCs/>
          <w:color w:val="000000"/>
          <w:sz w:val="24"/>
          <w:szCs w:val="24"/>
          <w:u w:val="none"/>
          <w:lang w:val="en-US" w:eastAsia="zh-CN"/>
        </w:rPr>
        <w:t>xx</w:t>
      </w:r>
      <w:r>
        <w:rPr>
          <w:rFonts w:hint="eastAsia" w:ascii="宋体" w:hAnsi="宋体" w:eastAsia="宋体" w:cs="Times New Roman"/>
          <w:i w:val="0"/>
          <w:iCs/>
          <w:color w:val="000000"/>
          <w:sz w:val="24"/>
          <w:szCs w:val="24"/>
          <w:u w:val="none"/>
        </w:rPr>
        <w:t>月</w:t>
      </w:r>
      <w:r>
        <w:rPr>
          <w:rFonts w:hint="eastAsia" w:ascii="宋体" w:hAnsi="宋体" w:eastAsia="宋体" w:cs="Times New Roman"/>
          <w:i w:val="0"/>
          <w:iCs/>
          <w:color w:val="000000"/>
          <w:sz w:val="24"/>
          <w:szCs w:val="24"/>
          <w:u w:val="none"/>
          <w:lang w:val="en-US" w:eastAsia="zh-CN"/>
        </w:rPr>
        <w:t>xx</w:t>
      </w:r>
      <w:r>
        <w:rPr>
          <w:rFonts w:hint="eastAsia" w:ascii="宋体" w:hAnsi="宋体" w:eastAsia="宋体" w:cs="Times New Roman"/>
          <w:i w:val="0"/>
          <w:iCs/>
          <w:color w:val="000000"/>
          <w:sz w:val="24"/>
          <w:szCs w:val="24"/>
          <w:u w:val="none"/>
        </w:rPr>
        <w:t>日，省级有关部门另有统一征集的，按省级有关部门征集要求及结果执行。</w:t>
      </w:r>
    </w:p>
    <w:p w14:paraId="52E994D9">
      <w:pPr>
        <w:spacing w:line="360" w:lineRule="auto"/>
        <w:ind w:firstLine="480"/>
        <w:jc w:val="left"/>
        <w:rPr>
          <w:rFonts w:ascii="宋体" w:hAnsi="宋体" w:eastAsia="宋体"/>
          <w:sz w:val="24"/>
          <w:szCs w:val="24"/>
        </w:rPr>
      </w:pPr>
      <w:r>
        <w:rPr>
          <w:rFonts w:hint="eastAsia" w:ascii="宋体" w:hAnsi="宋体" w:eastAsia="宋体" w:cs="Times New Roman"/>
          <w:bCs/>
          <w:color w:val="000000"/>
          <w:sz w:val="24"/>
          <w:szCs w:val="24"/>
        </w:rPr>
        <w:t>3.服务交付或履行合同的地域范围：连云港市本级、海州区、连云区、开发区、云台山景区、高新区、徐圩新区</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待定</w:t>
      </w:r>
      <w:r>
        <w:rPr>
          <w:rFonts w:hint="eastAsia" w:ascii="宋体" w:hAnsi="宋体" w:eastAsia="宋体" w:cs="Times New Roman"/>
          <w:color w:val="000000"/>
          <w:sz w:val="24"/>
          <w:szCs w:val="24"/>
          <w:lang w:eastAsia="zh-CN"/>
        </w:rPr>
        <w:t>）</w:t>
      </w:r>
      <w:bookmarkStart w:id="0" w:name="_GoBack"/>
      <w:bookmarkEnd w:id="0"/>
      <w:r>
        <w:rPr>
          <w:rFonts w:hint="eastAsia" w:ascii="宋体" w:hAnsi="宋体" w:eastAsia="宋体" w:cs="Times New Roman"/>
          <w:bCs/>
          <w:color w:val="000000"/>
          <w:sz w:val="24"/>
          <w:szCs w:val="24"/>
        </w:rPr>
        <w:t>各级国家机关、事业单位和团体组织</w:t>
      </w:r>
      <w:r>
        <w:rPr>
          <w:rFonts w:hint="eastAsia" w:ascii="宋体" w:hAnsi="宋体" w:eastAsia="宋体"/>
          <w:bCs/>
          <w:sz w:val="24"/>
          <w:szCs w:val="24"/>
        </w:rPr>
        <w:t>。</w:t>
      </w:r>
    </w:p>
    <w:p w14:paraId="7AA4978B">
      <w:pPr>
        <w:pStyle w:val="5"/>
        <w:numPr>
          <w:ilvl w:val="1"/>
          <w:numId w:val="0"/>
        </w:numPr>
        <w:spacing w:before="0" w:after="0" w:line="360" w:lineRule="auto"/>
        <w:ind w:firstLine="480"/>
        <w:jc w:val="left"/>
        <w:rPr>
          <w:rFonts w:ascii="黑体" w:hAnsi="黑体" w:eastAsia="黑体" w:cs="宋体"/>
          <w:b w:val="0"/>
          <w:bCs w:val="0"/>
          <w:color w:val="000000"/>
          <w:sz w:val="24"/>
          <w:szCs w:val="24"/>
        </w:rPr>
      </w:pPr>
      <w:r>
        <w:rPr>
          <w:rFonts w:hint="eastAsia" w:ascii="黑体" w:hAnsi="黑体" w:eastAsia="黑体" w:cs="宋体"/>
          <w:b w:val="0"/>
          <w:color w:val="000000"/>
          <w:sz w:val="24"/>
          <w:szCs w:val="24"/>
        </w:rPr>
        <w:t>二、服务技术要求及其他</w:t>
      </w:r>
    </w:p>
    <w:p w14:paraId="542E5E05">
      <w:pPr>
        <w:spacing w:line="360" w:lineRule="auto"/>
        <w:ind w:firstLine="482"/>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1.服务内容</w:t>
      </w:r>
    </w:p>
    <w:p w14:paraId="6E27E059">
      <w:pPr>
        <w:spacing w:line="360" w:lineRule="auto"/>
        <w:ind w:firstLine="48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本次采购范围为</w:t>
      </w:r>
      <w:r>
        <w:rPr>
          <w:rFonts w:hint="eastAsia" w:ascii="宋体" w:hAnsi="宋体" w:eastAsia="宋体" w:cs="Times New Roman"/>
          <w:bCs/>
          <w:color w:val="000000"/>
          <w:sz w:val="24"/>
          <w:szCs w:val="24"/>
          <w:highlight w:val="none"/>
        </w:rPr>
        <w:t>连云港市本级</w:t>
      </w:r>
      <w:r>
        <w:rPr>
          <w:rFonts w:hint="eastAsia" w:ascii="宋体" w:hAnsi="宋体" w:eastAsia="宋体" w:cs="Times New Roman"/>
          <w:color w:val="000000"/>
          <w:sz w:val="24"/>
          <w:szCs w:val="24"/>
        </w:rPr>
        <w:t>、海州区、连云区、开发区、云台山景区、高新区、徐圩新区</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待定</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等地</w:t>
      </w:r>
      <w:r>
        <w:rPr>
          <w:rFonts w:hint="eastAsia" w:ascii="宋体" w:hAnsi="宋体" w:eastAsia="宋体" w:cs="Times New Roman"/>
          <w:bCs/>
          <w:color w:val="000000"/>
          <w:sz w:val="24"/>
          <w:szCs w:val="24"/>
          <w:highlight w:val="none"/>
        </w:rPr>
        <w:t>各级</w:t>
      </w:r>
      <w:r>
        <w:rPr>
          <w:rFonts w:hint="eastAsia" w:ascii="宋体" w:hAnsi="宋体" w:eastAsia="宋体" w:cs="Times New Roman"/>
          <w:bCs/>
          <w:color w:val="000000"/>
          <w:sz w:val="24"/>
          <w:szCs w:val="24"/>
          <w:highlight w:val="none"/>
          <w:lang w:val="en-US" w:eastAsia="zh-CN"/>
        </w:rPr>
        <w:t>国家</w:t>
      </w:r>
      <w:r>
        <w:rPr>
          <w:rFonts w:hint="eastAsia" w:ascii="宋体" w:hAnsi="宋体" w:eastAsia="宋体" w:cs="Times New Roman"/>
          <w:bCs/>
          <w:color w:val="000000"/>
          <w:sz w:val="24"/>
          <w:szCs w:val="24"/>
          <w:highlight w:val="none"/>
        </w:rPr>
        <w:t>机关、事业单位和团体组织</w:t>
      </w:r>
      <w:r>
        <w:rPr>
          <w:rFonts w:hint="eastAsia" w:ascii="宋体" w:hAnsi="宋体" w:eastAsia="宋体" w:cs="Times New Roman"/>
          <w:color w:val="000000"/>
          <w:sz w:val="24"/>
          <w:szCs w:val="24"/>
        </w:rPr>
        <w:t>的</w:t>
      </w:r>
      <w:r>
        <w:rPr>
          <w:rFonts w:hint="eastAsia" w:ascii="宋体" w:hAnsi="宋体" w:eastAsia="宋体" w:cs="Times New Roman"/>
          <w:color w:val="000000"/>
          <w:sz w:val="24"/>
          <w:szCs w:val="24"/>
          <w:lang w:val="en-US" w:eastAsia="zh-CN"/>
        </w:rPr>
        <w:t>年度</w:t>
      </w:r>
      <w:r>
        <w:rPr>
          <w:rFonts w:hint="eastAsia" w:ascii="宋体" w:hAnsi="宋体" w:eastAsia="宋体" w:cs="Times New Roman"/>
          <w:color w:val="000000"/>
          <w:sz w:val="24"/>
          <w:szCs w:val="24"/>
        </w:rPr>
        <w:t>物业管理服务金额在50万元（不含）以下的物业管理服务项目。</w:t>
      </w:r>
    </w:p>
    <w:p w14:paraId="3DBE68A0">
      <w:pPr>
        <w:numPr>
          <w:ilvl w:val="0"/>
          <w:numId w:val="2"/>
        </w:numPr>
        <w:spacing w:line="360" w:lineRule="auto"/>
        <w:ind w:firstLine="482"/>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rPr>
        <w:t>服务</w:t>
      </w:r>
      <w:r>
        <w:rPr>
          <w:rFonts w:hint="eastAsia" w:ascii="宋体" w:hAnsi="宋体" w:eastAsia="宋体" w:cs="Times New Roman"/>
          <w:b/>
          <w:bCs/>
          <w:color w:val="000000"/>
          <w:sz w:val="24"/>
          <w:szCs w:val="24"/>
          <w:lang w:val="en-US" w:eastAsia="zh-CN"/>
        </w:rPr>
        <w:t>标准</w:t>
      </w:r>
    </w:p>
    <w:p w14:paraId="32B9C6F8">
      <w:pPr>
        <w:spacing w:line="360" w:lineRule="auto"/>
        <w:ind w:firstLine="480"/>
        <w:jc w:val="left"/>
        <w:rPr>
          <w:rFonts w:hint="eastAsia" w:ascii="宋体" w:hAnsi="宋体" w:eastAsia="宋体" w:cs="Times New Roman"/>
          <w:i w:val="0"/>
          <w:iCs/>
          <w:color w:val="000000"/>
          <w:sz w:val="24"/>
          <w:szCs w:val="24"/>
          <w:u w:val="none"/>
          <w:lang w:val="en-US" w:eastAsia="zh-CN"/>
        </w:rPr>
      </w:pPr>
      <w:r>
        <w:rPr>
          <w:rFonts w:hint="eastAsia" w:ascii="宋体" w:hAnsi="宋体" w:eastAsia="宋体" w:cs="Times New Roman"/>
          <w:i w:val="0"/>
          <w:iCs/>
          <w:color w:val="000000"/>
          <w:sz w:val="24"/>
          <w:szCs w:val="24"/>
          <w:u w:val="none"/>
          <w:lang w:val="en-US" w:eastAsia="zh-CN"/>
        </w:rPr>
        <w:t>物业管理服务管理标准按照财办库〔2024〕113号关于印发《物业管理服务政府采购需求标准（办公场所类）（试行）》和江苏省地方标准《党政机关办公楼(区)物业管理服务规范 》（DB32/T 4307-2022 ）执行，入围供应商和采购人在合同中进行明确。</w:t>
      </w:r>
    </w:p>
    <w:p w14:paraId="25AF9173">
      <w:pPr>
        <w:pageBreakBefore w:val="0"/>
        <w:spacing w:line="300" w:lineRule="auto"/>
        <w:ind w:firstLine="480"/>
        <w:outlineLvl w:val="9"/>
        <w:rPr>
          <w:rFonts w:hint="eastAsia" w:ascii="宋体" w:hAnsi="宋体" w:eastAsia="宋体" w:cs="Times New Roman"/>
          <w:i w:val="0"/>
          <w:iCs/>
          <w:color w:val="000000"/>
          <w:sz w:val="24"/>
          <w:szCs w:val="24"/>
          <w:u w:val="none"/>
          <w:lang w:val="en-US" w:eastAsia="zh-CN" w:bidi="ar-SA"/>
        </w:rPr>
      </w:pPr>
      <w:r>
        <w:rPr>
          <w:rFonts w:hint="eastAsia" w:ascii="宋体" w:hAnsi="宋体" w:eastAsia="宋体" w:cs="Times New Roman"/>
          <w:i w:val="0"/>
          <w:iCs/>
          <w:color w:val="000000"/>
          <w:sz w:val="24"/>
          <w:szCs w:val="24"/>
          <w:u w:val="none"/>
          <w:lang w:val="en-US" w:eastAsia="zh-CN" w:bidi="ar-SA"/>
        </w:rPr>
        <w:t>采购人可按照《政府采购需求管理办法》（财库</w:t>
      </w:r>
      <w:r>
        <w:rPr>
          <w:rFonts w:hint="eastAsia" w:ascii="宋体" w:hAnsi="宋体" w:eastAsia="宋体" w:cs="Times New Roman"/>
          <w:i w:val="0"/>
          <w:iCs/>
          <w:color w:val="000000"/>
          <w:sz w:val="24"/>
          <w:szCs w:val="24"/>
          <w:u w:val="none"/>
          <w:lang w:val="en-US" w:eastAsia="zh-CN"/>
        </w:rPr>
        <w:t>〔</w:t>
      </w:r>
      <w:r>
        <w:rPr>
          <w:rFonts w:hint="eastAsia" w:ascii="宋体" w:hAnsi="宋体" w:eastAsia="宋体" w:cs="Times New Roman"/>
          <w:i w:val="0"/>
          <w:iCs/>
          <w:color w:val="000000"/>
          <w:sz w:val="24"/>
          <w:szCs w:val="24"/>
          <w:u w:val="none"/>
          <w:lang w:val="en-US" w:eastAsia="zh-CN" w:bidi="ar-SA"/>
        </w:rPr>
        <w:t>2021</w:t>
      </w:r>
      <w:r>
        <w:rPr>
          <w:rFonts w:hint="eastAsia" w:ascii="宋体" w:hAnsi="宋体" w:eastAsia="宋体" w:cs="Times New Roman"/>
          <w:i w:val="0"/>
          <w:iCs/>
          <w:color w:val="000000"/>
          <w:sz w:val="24"/>
          <w:szCs w:val="24"/>
          <w:u w:val="none"/>
          <w:lang w:val="en-US" w:eastAsia="zh-CN"/>
        </w:rPr>
        <w:t>〕</w:t>
      </w:r>
      <w:r>
        <w:rPr>
          <w:rFonts w:hint="eastAsia" w:ascii="宋体" w:hAnsi="宋体" w:eastAsia="宋体" w:cs="Times New Roman"/>
          <w:i w:val="0"/>
          <w:iCs/>
          <w:color w:val="000000"/>
          <w:sz w:val="24"/>
          <w:szCs w:val="24"/>
          <w:u w:val="none"/>
          <w:lang w:val="en-US" w:eastAsia="zh-CN" w:bidi="ar-SA"/>
        </w:rPr>
        <w:t>22号）及《物业管理服务政府采购需求标准（办公场所类）试行》要求，结合项目实际情况，在本次征集服务范围内，可对本项目所列服务内容及标准作必要调整，确定采购需求并明确所需服务人员，自主选配物业管理服务种类，但不得超出实际需要。</w:t>
      </w:r>
    </w:p>
    <w:p w14:paraId="49838A59">
      <w:pPr>
        <w:numPr>
          <w:ilvl w:val="0"/>
          <w:numId w:val="2"/>
        </w:numPr>
        <w:spacing w:line="360" w:lineRule="auto"/>
        <w:ind w:left="0" w:leftChars="0" w:firstLine="482"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rPr>
        <w:t>服务</w:t>
      </w:r>
      <w:r>
        <w:rPr>
          <w:rFonts w:hint="eastAsia" w:ascii="宋体" w:hAnsi="宋体" w:eastAsia="宋体" w:cs="Times New Roman"/>
          <w:b/>
          <w:bCs/>
          <w:sz w:val="24"/>
          <w:szCs w:val="24"/>
          <w:lang w:val="en-US" w:eastAsia="zh-CN"/>
        </w:rPr>
        <w:t>要求</w:t>
      </w:r>
    </w:p>
    <w:p w14:paraId="1664F414">
      <w:pPr>
        <w:numPr>
          <w:ilvl w:val="0"/>
          <w:numId w:val="3"/>
        </w:numPr>
        <w:spacing w:line="360" w:lineRule="auto"/>
        <w:ind w:firstLine="48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基础服务要求</w:t>
      </w:r>
    </w:p>
    <w:tbl>
      <w:tblPr>
        <w:tblStyle w:val="16"/>
        <w:tblpPr w:leftFromText="180" w:rightFromText="180" w:vertAnchor="text" w:horzAnchor="page" w:tblpXSpec="center" w:tblpY="458"/>
        <w:tblOverlap w:val="never"/>
        <w:tblW w:w="7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621"/>
      </w:tblGrid>
      <w:tr w14:paraId="01E54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4" w:type="dxa"/>
            <w:vAlign w:val="top"/>
          </w:tcPr>
          <w:p w14:paraId="6209AAD1">
            <w:pPr>
              <w:pStyle w:val="15"/>
              <w:spacing w:before="75" w:line="222" w:lineRule="auto"/>
              <w:jc w:val="center"/>
              <w:rPr>
                <w:rFonts w:hint="eastAsia"/>
                <w:color w:val="auto"/>
                <w:spacing w:val="-3"/>
                <w:sz w:val="24"/>
                <w:szCs w:val="24"/>
                <w:lang w:val="en-US" w:eastAsia="zh-CN"/>
              </w:rPr>
            </w:pPr>
            <w:r>
              <w:rPr>
                <w:rFonts w:hint="eastAsia"/>
                <w:color w:val="auto"/>
                <w:spacing w:val="-3"/>
                <w:sz w:val="24"/>
                <w:szCs w:val="24"/>
                <w:lang w:val="en-US" w:eastAsia="zh-CN"/>
              </w:rPr>
              <w:t>服务</w:t>
            </w:r>
          </w:p>
          <w:p w14:paraId="436FCCC5">
            <w:pPr>
              <w:pStyle w:val="15"/>
              <w:spacing w:before="75" w:line="222" w:lineRule="auto"/>
              <w:jc w:val="center"/>
              <w:rPr>
                <w:rFonts w:hint="default" w:eastAsia="宋体"/>
                <w:color w:val="auto"/>
                <w:sz w:val="24"/>
                <w:szCs w:val="24"/>
                <w:lang w:val="en-US" w:eastAsia="zh-CN"/>
              </w:rPr>
            </w:pPr>
            <w:r>
              <w:rPr>
                <w:rFonts w:hint="eastAsia"/>
                <w:color w:val="auto"/>
                <w:spacing w:val="-3"/>
                <w:sz w:val="24"/>
                <w:szCs w:val="24"/>
                <w:lang w:val="en-US" w:eastAsia="zh-CN"/>
              </w:rPr>
              <w:t>内容</w:t>
            </w:r>
          </w:p>
        </w:tc>
        <w:tc>
          <w:tcPr>
            <w:tcW w:w="6621" w:type="dxa"/>
            <w:vAlign w:val="top"/>
          </w:tcPr>
          <w:p w14:paraId="03FDFFB5">
            <w:pPr>
              <w:pStyle w:val="15"/>
              <w:spacing w:before="75" w:line="221" w:lineRule="auto"/>
              <w:jc w:val="center"/>
              <w:rPr>
                <w:color w:val="auto"/>
                <w:sz w:val="24"/>
                <w:szCs w:val="24"/>
              </w:rPr>
            </w:pPr>
            <w:r>
              <w:rPr>
                <w:color w:val="auto"/>
                <w:spacing w:val="-2"/>
                <w:sz w:val="24"/>
                <w:szCs w:val="24"/>
              </w:rPr>
              <w:t>服务标准</w:t>
            </w:r>
          </w:p>
        </w:tc>
      </w:tr>
      <w:tr w14:paraId="5F664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Merge w:val="restart"/>
            <w:vAlign w:val="top"/>
          </w:tcPr>
          <w:p w14:paraId="7FBCFDF4">
            <w:pPr>
              <w:spacing w:line="250" w:lineRule="auto"/>
              <w:rPr>
                <w:rFonts w:ascii="Arial"/>
                <w:color w:val="auto"/>
                <w:sz w:val="24"/>
                <w:szCs w:val="24"/>
              </w:rPr>
            </w:pPr>
          </w:p>
          <w:p w14:paraId="175A5ABF">
            <w:pPr>
              <w:spacing w:line="292" w:lineRule="auto"/>
              <w:rPr>
                <w:rFonts w:ascii="Arial"/>
                <w:color w:val="auto"/>
                <w:sz w:val="24"/>
                <w:szCs w:val="24"/>
              </w:rPr>
            </w:pPr>
          </w:p>
          <w:p w14:paraId="690DF687">
            <w:pPr>
              <w:spacing w:line="292" w:lineRule="auto"/>
              <w:rPr>
                <w:rFonts w:ascii="Arial"/>
                <w:color w:val="auto"/>
                <w:sz w:val="24"/>
                <w:szCs w:val="24"/>
              </w:rPr>
            </w:pPr>
          </w:p>
          <w:p w14:paraId="72FF1D60">
            <w:pPr>
              <w:spacing w:line="293" w:lineRule="auto"/>
              <w:jc w:val="center"/>
              <w:rPr>
                <w:rFonts w:hint="eastAsia" w:ascii="Arial" w:eastAsiaTheme="minorEastAsia"/>
                <w:color w:val="auto"/>
                <w:sz w:val="24"/>
                <w:szCs w:val="24"/>
                <w:lang w:val="en-US" w:eastAsia="zh-CN"/>
              </w:rPr>
            </w:pPr>
            <w:r>
              <w:rPr>
                <w:rFonts w:hint="eastAsia" w:ascii="Arial"/>
                <w:color w:val="auto"/>
                <w:sz w:val="24"/>
                <w:szCs w:val="24"/>
                <w:lang w:val="en-US" w:eastAsia="zh-CN"/>
              </w:rPr>
              <w:t>人员管理</w:t>
            </w:r>
          </w:p>
          <w:p w14:paraId="2757F5A0">
            <w:pPr>
              <w:spacing w:line="293" w:lineRule="auto"/>
              <w:rPr>
                <w:rFonts w:ascii="Arial"/>
                <w:color w:val="auto"/>
                <w:sz w:val="24"/>
                <w:szCs w:val="24"/>
              </w:rPr>
            </w:pPr>
          </w:p>
          <w:p w14:paraId="2E103E91">
            <w:pPr>
              <w:spacing w:line="297" w:lineRule="auto"/>
              <w:rPr>
                <w:rFonts w:ascii="Arial"/>
                <w:color w:val="auto"/>
                <w:sz w:val="24"/>
                <w:szCs w:val="24"/>
              </w:rPr>
            </w:pPr>
          </w:p>
          <w:p w14:paraId="2EEC86EA">
            <w:pPr>
              <w:spacing w:line="297" w:lineRule="auto"/>
              <w:rPr>
                <w:rFonts w:ascii="Arial"/>
                <w:color w:val="auto"/>
                <w:sz w:val="24"/>
                <w:szCs w:val="24"/>
              </w:rPr>
            </w:pPr>
          </w:p>
          <w:p w14:paraId="0791C227">
            <w:pPr>
              <w:spacing w:line="298" w:lineRule="auto"/>
              <w:rPr>
                <w:rFonts w:ascii="Arial"/>
                <w:color w:val="auto"/>
                <w:sz w:val="24"/>
                <w:szCs w:val="24"/>
              </w:rPr>
            </w:pPr>
          </w:p>
          <w:p w14:paraId="6F6B4E0C">
            <w:pPr>
              <w:spacing w:before="46" w:line="181" w:lineRule="auto"/>
              <w:ind w:left="445"/>
              <w:rPr>
                <w:rFonts w:ascii="Calibri" w:hAnsi="Calibri" w:eastAsia="Calibri" w:cs="Calibri"/>
                <w:color w:val="auto"/>
                <w:sz w:val="24"/>
                <w:szCs w:val="24"/>
              </w:rPr>
            </w:pPr>
          </w:p>
        </w:tc>
        <w:tc>
          <w:tcPr>
            <w:tcW w:w="6621" w:type="dxa"/>
            <w:vAlign w:val="top"/>
          </w:tcPr>
          <w:p w14:paraId="2ADB568C">
            <w:pPr>
              <w:pStyle w:val="15"/>
              <w:spacing w:before="6" w:line="192" w:lineRule="auto"/>
              <w:ind w:left="88" w:right="139" w:firstLine="17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（1）结合采购人要求及物业服务实际情况，制定年度管理目标，明确责</w:t>
            </w:r>
            <w:r>
              <w:rPr>
                <w:rFonts w:hint="eastAsia" w:ascii="宋体" w:hAnsi="宋体" w:eastAsia="宋体" w:cs="宋体"/>
                <w:color w:val="auto"/>
                <w:spacing w:val="-3"/>
                <w:sz w:val="24"/>
                <w:szCs w:val="24"/>
              </w:rPr>
              <w:t>任分工，并制定配套</w:t>
            </w:r>
            <w:r>
              <w:rPr>
                <w:rFonts w:hint="eastAsia" w:ascii="宋体" w:hAnsi="宋体" w:eastAsia="宋体" w:cs="宋体"/>
                <w:color w:val="auto"/>
                <w:spacing w:val="-2"/>
                <w:sz w:val="24"/>
                <w:szCs w:val="24"/>
              </w:rPr>
              <w:t>实施方案。</w:t>
            </w:r>
          </w:p>
          <w:p w14:paraId="03640170">
            <w:pPr>
              <w:pStyle w:val="15"/>
              <w:spacing w:before="6" w:line="192" w:lineRule="auto"/>
              <w:ind w:left="85" w:right="213" w:firstLine="182"/>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）每季度至少开展1次岗位技能、职业素质、服务知识、客户文化、</w:t>
            </w:r>
            <w:r>
              <w:rPr>
                <w:rFonts w:hint="eastAsia" w:ascii="宋体" w:hAnsi="宋体" w:eastAsia="宋体" w:cs="宋体"/>
                <w:color w:val="auto"/>
                <w:spacing w:val="-3"/>
                <w:sz w:val="24"/>
                <w:szCs w:val="24"/>
              </w:rPr>
              <w:t>绿色节能环保等教育</w:t>
            </w:r>
            <w:r>
              <w:rPr>
                <w:rFonts w:hint="eastAsia" w:ascii="宋体" w:hAnsi="宋体" w:eastAsia="宋体" w:cs="宋体"/>
                <w:color w:val="auto"/>
                <w:spacing w:val="-1"/>
                <w:sz w:val="24"/>
                <w:szCs w:val="24"/>
              </w:rPr>
              <w:t>培训，并进行适当形式的考核。</w:t>
            </w:r>
          </w:p>
          <w:p w14:paraId="7D5E250D">
            <w:pPr>
              <w:pStyle w:val="15"/>
              <w:spacing w:before="6" w:line="206" w:lineRule="auto"/>
              <w:ind w:left="85" w:right="99" w:firstLine="182"/>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（3）服务人员的年龄、学历、工作经验及资格条件应当与所在岗位能力</w:t>
            </w:r>
            <w:r>
              <w:rPr>
                <w:rFonts w:hint="eastAsia" w:ascii="宋体" w:hAnsi="宋体" w:eastAsia="宋体" w:cs="宋体"/>
                <w:color w:val="auto"/>
                <w:spacing w:val="-3"/>
                <w:sz w:val="24"/>
                <w:szCs w:val="24"/>
              </w:rPr>
              <w:t>要求相匹配，到岗前</w:t>
            </w:r>
            <w:r>
              <w:rPr>
                <w:rFonts w:hint="eastAsia" w:ascii="宋体" w:hAnsi="宋体" w:eastAsia="宋体" w:cs="宋体"/>
                <w:color w:val="auto"/>
                <w:spacing w:val="-1"/>
                <w:sz w:val="24"/>
                <w:szCs w:val="24"/>
              </w:rPr>
              <w:t>应当经过必要的岗前培训以达到岗位能力要求，国家、行业规定应当取得职业资格证书或特种作业证书的，应当按规定持证上岗。</w:t>
            </w:r>
          </w:p>
          <w:p w14:paraId="0B7ADF31">
            <w:pPr>
              <w:pStyle w:val="15"/>
              <w:spacing w:before="6" w:line="171" w:lineRule="auto"/>
              <w:ind w:firstLine="236" w:firstLineChars="100"/>
              <w:rPr>
                <w:rFonts w:hint="eastAsia" w:ascii="宋体" w:hAnsi="宋体" w:eastAsia="宋体" w:cs="宋体"/>
                <w:color w:val="auto"/>
                <w:sz w:val="24"/>
                <w:szCs w:val="24"/>
              </w:rPr>
            </w:pPr>
            <w:r>
              <w:rPr>
                <w:rFonts w:hint="eastAsia" w:ascii="宋体" w:hAnsi="宋体" w:eastAsia="宋体" w:cs="宋体"/>
                <w:color w:val="auto"/>
                <w:spacing w:val="-2"/>
                <w:sz w:val="24"/>
                <w:szCs w:val="24"/>
              </w:rPr>
              <w:t>（4）如采购人认为服务人员不适应岗位要求或存在其他影响工作的</w:t>
            </w:r>
            <w:r>
              <w:rPr>
                <w:rFonts w:hint="eastAsia" w:ascii="宋体" w:hAnsi="宋体" w:eastAsia="宋体" w:cs="宋体"/>
                <w:color w:val="auto"/>
                <w:spacing w:val="-3"/>
                <w:sz w:val="24"/>
                <w:szCs w:val="24"/>
              </w:rPr>
              <w:t>，可要求供应商进行调</w:t>
            </w:r>
            <w:r>
              <w:rPr>
                <w:rFonts w:hint="eastAsia" w:ascii="宋体" w:hAnsi="宋体" w:eastAsia="宋体" w:cs="宋体"/>
                <w:color w:val="auto"/>
                <w:spacing w:val="-1"/>
                <w:sz w:val="24"/>
                <w:szCs w:val="24"/>
              </w:rPr>
              <w:t>换。如因供应商原因对服务人员进行调换，应当经采购人同意，更换比例不得超过本项目服务人员</w:t>
            </w:r>
            <w:r>
              <w:rPr>
                <w:rFonts w:hint="eastAsia" w:ascii="宋体" w:hAnsi="宋体" w:eastAsia="宋体" w:cs="宋体"/>
                <w:color w:val="auto"/>
                <w:spacing w:val="-2"/>
                <w:sz w:val="24"/>
                <w:szCs w:val="24"/>
              </w:rPr>
              <w:t>总数的20%。本项目服务人员不得在其他项目兼职。</w:t>
            </w:r>
          </w:p>
          <w:p w14:paraId="1FD2F0DD">
            <w:pPr>
              <w:pStyle w:val="15"/>
              <w:spacing w:before="6" w:line="192" w:lineRule="auto"/>
              <w:ind w:left="87" w:right="139" w:firstLine="181"/>
              <w:rPr>
                <w:rFonts w:hint="eastAsia" w:ascii="宋体" w:hAnsi="宋体" w:eastAsia="宋体" w:cs="宋体"/>
                <w:color w:val="auto"/>
                <w:sz w:val="24"/>
                <w:szCs w:val="24"/>
              </w:rPr>
            </w:pPr>
            <w:r>
              <w:rPr>
                <w:rFonts w:hint="eastAsia" w:ascii="宋体" w:hAnsi="宋体" w:eastAsia="宋体" w:cs="宋体"/>
                <w:color w:val="auto"/>
                <w:spacing w:val="-2"/>
                <w:sz w:val="24"/>
                <w:szCs w:val="24"/>
              </w:rPr>
              <w:t>（5）着装分类统一，佩戴标识。仪容整洁、姿态端正、举止文明。用语</w:t>
            </w:r>
            <w:r>
              <w:rPr>
                <w:rFonts w:hint="eastAsia" w:ascii="宋体" w:hAnsi="宋体" w:eastAsia="宋体" w:cs="宋体"/>
                <w:color w:val="auto"/>
                <w:spacing w:val="-3"/>
                <w:sz w:val="24"/>
                <w:szCs w:val="24"/>
              </w:rPr>
              <w:t>文明礼貌，态度温和耐心。</w:t>
            </w:r>
          </w:p>
          <w:p w14:paraId="7744D62D">
            <w:pPr>
              <w:pStyle w:val="15"/>
              <w:spacing w:line="195" w:lineRule="auto"/>
              <w:ind w:left="84" w:right="189" w:firstLine="183"/>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6</w:t>
            </w:r>
            <w:r>
              <w:rPr>
                <w:rFonts w:hint="eastAsia" w:ascii="宋体" w:hAnsi="宋体" w:eastAsia="宋体" w:cs="宋体"/>
                <w:color w:val="auto"/>
                <w:spacing w:val="-2"/>
                <w:sz w:val="24"/>
                <w:szCs w:val="24"/>
              </w:rPr>
              <w:t>）建立保密管理制度。制度内容应当包括但不限于：①明确重点要</w:t>
            </w:r>
            <w:r>
              <w:rPr>
                <w:rFonts w:hint="eastAsia" w:ascii="宋体" w:hAnsi="宋体" w:eastAsia="宋体" w:cs="宋体"/>
                <w:color w:val="auto"/>
                <w:spacing w:val="-3"/>
                <w:sz w:val="24"/>
                <w:szCs w:val="24"/>
              </w:rPr>
              <w:t>害岗位保密职责。②</w:t>
            </w:r>
            <w:r>
              <w:rPr>
                <w:rFonts w:hint="eastAsia" w:ascii="宋体" w:hAnsi="宋体" w:eastAsia="宋体" w:cs="宋体"/>
                <w:color w:val="auto"/>
                <w:spacing w:val="-1"/>
                <w:sz w:val="24"/>
                <w:szCs w:val="24"/>
              </w:rPr>
              <w:t>对涉密工作岗位的保密要求。</w:t>
            </w:r>
          </w:p>
        </w:tc>
      </w:tr>
      <w:tr w14:paraId="7F159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6" w:hRule="atLeast"/>
          <w:jc w:val="center"/>
        </w:trPr>
        <w:tc>
          <w:tcPr>
            <w:tcW w:w="724" w:type="dxa"/>
            <w:tcBorders>
              <w:top w:val="nil"/>
            </w:tcBorders>
            <w:vAlign w:val="center"/>
          </w:tcPr>
          <w:p w14:paraId="12D40DF7">
            <w:pPr>
              <w:jc w:val="center"/>
              <w:rPr>
                <w:rFonts w:hint="default" w:ascii="Arial" w:eastAsiaTheme="minorEastAsia"/>
                <w:color w:val="auto"/>
                <w:sz w:val="24"/>
                <w:szCs w:val="24"/>
                <w:lang w:val="en-US" w:eastAsia="zh-CN"/>
              </w:rPr>
            </w:pPr>
            <w:r>
              <w:rPr>
                <w:rFonts w:hint="eastAsia" w:ascii="Calibri" w:hAnsi="Calibri" w:eastAsia="宋体" w:cs="Calibri"/>
                <w:color w:val="auto"/>
                <w:sz w:val="24"/>
                <w:szCs w:val="24"/>
                <w:lang w:val="en-US" w:eastAsia="zh-CN"/>
              </w:rPr>
              <w:t>工作交接及档案管理</w:t>
            </w:r>
          </w:p>
        </w:tc>
        <w:tc>
          <w:tcPr>
            <w:tcW w:w="6621" w:type="dxa"/>
            <w:vAlign w:val="top"/>
          </w:tcPr>
          <w:p w14:paraId="5494D7C1">
            <w:pPr>
              <w:pStyle w:val="15"/>
              <w:spacing w:before="6" w:line="181" w:lineRule="auto"/>
              <w:ind w:firstLine="236" w:firstLineChars="10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（1）建立物业信息，准确、及时地对文件资料和服务记录进行归档</w:t>
            </w:r>
            <w:r>
              <w:rPr>
                <w:rFonts w:hint="eastAsia" w:ascii="宋体" w:hAnsi="宋体" w:eastAsia="宋体" w:cs="宋体"/>
                <w:color w:val="auto"/>
                <w:spacing w:val="-3"/>
                <w:sz w:val="24"/>
                <w:szCs w:val="24"/>
              </w:rPr>
              <w:t>保存，并确保其物理安全。</w:t>
            </w:r>
          </w:p>
          <w:p w14:paraId="21637272">
            <w:pPr>
              <w:pStyle w:val="15"/>
              <w:spacing w:before="71" w:line="200" w:lineRule="auto"/>
              <w:ind w:firstLine="236" w:firstLineChars="100"/>
              <w:rPr>
                <w:rFonts w:hint="eastAsia" w:ascii="宋体" w:hAnsi="宋体" w:eastAsia="宋体" w:cs="宋体"/>
                <w:color w:val="auto"/>
                <w:spacing w:val="-8"/>
                <w:sz w:val="24"/>
                <w:szCs w:val="24"/>
              </w:rPr>
            </w:pPr>
            <w:r>
              <w:rPr>
                <w:rFonts w:hint="eastAsia" w:ascii="宋体" w:hAnsi="宋体" w:eastAsia="宋体" w:cs="宋体"/>
                <w:color w:val="auto"/>
                <w:spacing w:val="-2"/>
                <w:sz w:val="24"/>
                <w:szCs w:val="24"/>
              </w:rPr>
              <w:t>（2）档案和记录齐全，包括但不限于：①采购人建议与投诉等。教</w:t>
            </w:r>
            <w:r>
              <w:rPr>
                <w:rFonts w:hint="eastAsia" w:ascii="宋体" w:hAnsi="宋体" w:eastAsia="宋体" w:cs="宋体"/>
                <w:color w:val="auto"/>
                <w:spacing w:val="-3"/>
                <w:sz w:val="24"/>
                <w:szCs w:val="24"/>
              </w:rPr>
              <w:t>育培训和考核记录。保</w:t>
            </w:r>
            <w:r>
              <w:rPr>
                <w:rFonts w:hint="eastAsia" w:ascii="宋体" w:hAnsi="宋体" w:eastAsia="宋体" w:cs="宋体"/>
                <w:color w:val="auto"/>
                <w:sz w:val="24"/>
                <w:szCs w:val="24"/>
              </w:rPr>
              <w:t>密、思想政治教育培训记录。②房屋维护服务：房屋台账、使用说明、房屋装修、维保记</w:t>
            </w:r>
            <w:r>
              <w:rPr>
                <w:rFonts w:hint="eastAsia" w:ascii="宋体" w:hAnsi="宋体" w:eastAsia="宋体" w:cs="宋体"/>
                <w:color w:val="auto"/>
                <w:spacing w:val="-1"/>
                <w:sz w:val="24"/>
                <w:szCs w:val="24"/>
              </w:rPr>
              <w:t>录等。</w:t>
            </w:r>
            <w:r>
              <w:rPr>
                <w:rFonts w:hint="eastAsia" w:ascii="宋体" w:hAnsi="宋体" w:eastAsia="宋体" w:cs="宋体"/>
                <w:color w:val="auto"/>
                <w:sz w:val="24"/>
                <w:szCs w:val="24"/>
              </w:rPr>
              <w:t>③公用设施设备维护服务：设备台账、设备</w:t>
            </w:r>
            <w:r>
              <w:rPr>
                <w:rFonts w:hint="eastAsia" w:ascii="宋体" w:hAnsi="宋体" w:eastAsia="宋体" w:cs="宋体"/>
                <w:color w:val="auto"/>
                <w:spacing w:val="-1"/>
                <w:sz w:val="24"/>
                <w:szCs w:val="24"/>
              </w:rPr>
              <w:t>卡、使用说明、维保记录、巡查记录、设施设备安全</w:t>
            </w:r>
            <w:r>
              <w:rPr>
                <w:rFonts w:hint="eastAsia" w:ascii="宋体" w:hAnsi="宋体" w:eastAsia="宋体" w:cs="宋体"/>
                <w:color w:val="auto"/>
                <w:sz w:val="24"/>
                <w:szCs w:val="24"/>
              </w:rPr>
              <w:t>运行、设施设备定期巡检、维护保养、维修</w:t>
            </w:r>
            <w:r>
              <w:rPr>
                <w:rFonts w:hint="eastAsia" w:ascii="宋体" w:hAnsi="宋体" w:eastAsia="宋体" w:cs="宋体"/>
                <w:color w:val="auto"/>
                <w:spacing w:val="-1"/>
                <w:sz w:val="24"/>
                <w:szCs w:val="24"/>
              </w:rPr>
              <w:t>档案等。④</w:t>
            </w:r>
            <w:r>
              <w:rPr>
                <w:rFonts w:hint="eastAsia" w:cs="宋体"/>
                <w:color w:val="auto"/>
                <w:spacing w:val="-1"/>
                <w:sz w:val="24"/>
                <w:szCs w:val="24"/>
                <w:lang w:val="en-US" w:eastAsia="zh-CN"/>
              </w:rPr>
              <w:t>秩序维护</w:t>
            </w:r>
            <w:r>
              <w:rPr>
                <w:rFonts w:hint="eastAsia" w:ascii="宋体" w:hAnsi="宋体" w:eastAsia="宋体" w:cs="宋体"/>
                <w:color w:val="auto"/>
                <w:spacing w:val="-1"/>
                <w:sz w:val="24"/>
                <w:szCs w:val="24"/>
              </w:rPr>
              <w:t>服务：监控记录、突发事件演习与处</w:t>
            </w:r>
            <w:r>
              <w:rPr>
                <w:rFonts w:hint="eastAsia" w:ascii="宋体" w:hAnsi="宋体" w:eastAsia="宋体" w:cs="宋体"/>
                <w:color w:val="auto"/>
                <w:sz w:val="24"/>
                <w:szCs w:val="24"/>
              </w:rPr>
              <w:t>置记录</w:t>
            </w:r>
            <w:r>
              <w:rPr>
                <w:rFonts w:hint="eastAsia" w:ascii="宋体" w:hAnsi="宋体" w:eastAsia="宋体" w:cs="宋体"/>
                <w:color w:val="auto"/>
                <w:spacing w:val="-1"/>
                <w:sz w:val="24"/>
                <w:szCs w:val="24"/>
              </w:rPr>
              <w:t>总平面图、清洁整改记录、消杀记录等。⑦其他：客户信息、财务明细、合同协议、信报信息登记、大件物品进出登记等。</w:t>
            </w:r>
          </w:p>
          <w:p w14:paraId="405558B0">
            <w:pPr>
              <w:pStyle w:val="15"/>
              <w:spacing w:before="71" w:line="200" w:lineRule="auto"/>
              <w:ind w:firstLine="236" w:firstLineChars="100"/>
              <w:rPr>
                <w:rFonts w:hint="eastAsia" w:ascii="宋体" w:hAnsi="宋体" w:eastAsia="宋体" w:cs="宋体"/>
                <w:color w:val="auto"/>
                <w:spacing w:val="-8"/>
                <w:sz w:val="24"/>
                <w:szCs w:val="24"/>
              </w:rPr>
            </w:pPr>
            <w:r>
              <w:rPr>
                <w:rFonts w:hint="eastAsia" w:ascii="宋体" w:hAnsi="宋体" w:eastAsia="宋体" w:cs="宋体"/>
                <w:color w:val="auto"/>
                <w:spacing w:val="-2"/>
                <w:sz w:val="24"/>
                <w:szCs w:val="24"/>
              </w:rPr>
              <w:t>（3）遵守采购人的信息、档案资料保密要求，未经许可，不得将建筑物平</w:t>
            </w:r>
            <w:r>
              <w:rPr>
                <w:rFonts w:hint="eastAsia" w:ascii="宋体" w:hAnsi="宋体" w:eastAsia="宋体" w:cs="宋体"/>
                <w:color w:val="auto"/>
                <w:spacing w:val="-3"/>
                <w:sz w:val="24"/>
                <w:szCs w:val="24"/>
              </w:rPr>
              <w:t>面图等资料转作其</w:t>
            </w:r>
            <w:r>
              <w:rPr>
                <w:rFonts w:hint="eastAsia" w:ascii="宋体" w:hAnsi="宋体" w:eastAsia="宋体" w:cs="宋体"/>
                <w:color w:val="auto"/>
                <w:spacing w:val="-1"/>
                <w:sz w:val="24"/>
                <w:szCs w:val="24"/>
              </w:rPr>
              <w:t>他用途或向其他单位、个人提供。</w:t>
            </w:r>
          </w:p>
          <w:p w14:paraId="69F19574">
            <w:pPr>
              <w:pStyle w:val="15"/>
              <w:spacing w:before="71" w:line="200" w:lineRule="auto"/>
              <w:ind w:firstLine="234" w:firstLineChars="1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（4）履约结束后，相关资料交还采购人，采购人按政府采购相关规定存档。</w:t>
            </w:r>
          </w:p>
          <w:p w14:paraId="2034FCA9">
            <w:pPr>
              <w:pStyle w:val="15"/>
              <w:spacing w:before="71" w:line="200" w:lineRule="auto"/>
              <w:ind w:firstLine="234" w:firstLineChars="10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5</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配合采购人完成物业的交接工作，确保服务的连续性。</w:t>
            </w:r>
          </w:p>
        </w:tc>
      </w:tr>
    </w:tbl>
    <w:p w14:paraId="1985512C">
      <w:pPr>
        <w:pStyle w:val="12"/>
        <w:numPr>
          <w:ilvl w:val="0"/>
          <w:numId w:val="0"/>
        </w:numPr>
        <w:rPr>
          <w:rFonts w:hint="default"/>
          <w:sz w:val="24"/>
          <w:szCs w:val="24"/>
          <w:lang w:val="en-US" w:eastAsia="zh-CN"/>
        </w:rPr>
      </w:pPr>
    </w:p>
    <w:p w14:paraId="763CC6A6">
      <w:pPr>
        <w:numPr>
          <w:ilvl w:val="0"/>
          <w:numId w:val="3"/>
        </w:numPr>
        <w:spacing w:line="360" w:lineRule="auto"/>
        <w:ind w:left="0" w:leftChars="0" w:firstLine="48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房屋及公共设施的维修、维护</w:t>
      </w:r>
    </w:p>
    <w:tbl>
      <w:tblPr>
        <w:tblStyle w:val="16"/>
        <w:tblpPr w:leftFromText="180" w:rightFromText="180" w:vertAnchor="text" w:horzAnchor="page" w:tblpXSpec="center" w:tblpY="458"/>
        <w:tblOverlap w:val="never"/>
        <w:tblW w:w="7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621"/>
      </w:tblGrid>
      <w:tr w14:paraId="6BF0A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4" w:type="dxa"/>
            <w:vAlign w:val="top"/>
          </w:tcPr>
          <w:p w14:paraId="641F9343">
            <w:pPr>
              <w:pStyle w:val="15"/>
              <w:spacing w:before="75" w:line="222" w:lineRule="auto"/>
              <w:jc w:val="center"/>
              <w:rPr>
                <w:rFonts w:hint="eastAsia"/>
                <w:color w:val="auto"/>
                <w:spacing w:val="-3"/>
                <w:sz w:val="24"/>
                <w:szCs w:val="24"/>
                <w:lang w:val="en-US" w:eastAsia="zh-CN"/>
              </w:rPr>
            </w:pPr>
            <w:r>
              <w:rPr>
                <w:rFonts w:hint="eastAsia"/>
                <w:color w:val="auto"/>
                <w:spacing w:val="-3"/>
                <w:sz w:val="24"/>
                <w:szCs w:val="24"/>
                <w:lang w:val="en-US" w:eastAsia="zh-CN"/>
              </w:rPr>
              <w:t>服务</w:t>
            </w:r>
          </w:p>
          <w:p w14:paraId="2B62CF62">
            <w:pPr>
              <w:pStyle w:val="15"/>
              <w:spacing w:before="75" w:line="222" w:lineRule="auto"/>
              <w:jc w:val="center"/>
              <w:rPr>
                <w:rFonts w:hint="default" w:eastAsia="宋体"/>
                <w:color w:val="auto"/>
                <w:sz w:val="24"/>
                <w:szCs w:val="24"/>
                <w:lang w:val="en-US" w:eastAsia="zh-CN"/>
              </w:rPr>
            </w:pPr>
            <w:r>
              <w:rPr>
                <w:rFonts w:hint="eastAsia"/>
                <w:color w:val="auto"/>
                <w:spacing w:val="-3"/>
                <w:sz w:val="24"/>
                <w:szCs w:val="24"/>
                <w:lang w:val="en-US" w:eastAsia="zh-CN"/>
              </w:rPr>
              <w:t>内容</w:t>
            </w:r>
          </w:p>
        </w:tc>
        <w:tc>
          <w:tcPr>
            <w:tcW w:w="6621" w:type="dxa"/>
            <w:vAlign w:val="top"/>
          </w:tcPr>
          <w:p w14:paraId="4CDC8F1C">
            <w:pPr>
              <w:pStyle w:val="15"/>
              <w:spacing w:before="75" w:line="221" w:lineRule="auto"/>
              <w:jc w:val="center"/>
              <w:rPr>
                <w:color w:val="auto"/>
                <w:sz w:val="24"/>
                <w:szCs w:val="24"/>
              </w:rPr>
            </w:pPr>
            <w:r>
              <w:rPr>
                <w:color w:val="auto"/>
                <w:spacing w:val="-2"/>
                <w:sz w:val="24"/>
                <w:szCs w:val="24"/>
              </w:rPr>
              <w:t>服务标准</w:t>
            </w:r>
          </w:p>
        </w:tc>
      </w:tr>
      <w:tr w14:paraId="7180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724" w:type="dxa"/>
            <w:vAlign w:val="top"/>
          </w:tcPr>
          <w:p w14:paraId="4D345B5E">
            <w:pPr>
              <w:spacing w:line="250" w:lineRule="auto"/>
              <w:rPr>
                <w:rFonts w:ascii="Arial"/>
                <w:color w:val="auto"/>
                <w:sz w:val="24"/>
                <w:szCs w:val="24"/>
              </w:rPr>
            </w:pPr>
          </w:p>
          <w:p w14:paraId="762677ED">
            <w:pPr>
              <w:spacing w:line="292" w:lineRule="auto"/>
              <w:rPr>
                <w:rFonts w:ascii="Arial"/>
                <w:color w:val="auto"/>
                <w:sz w:val="24"/>
                <w:szCs w:val="24"/>
              </w:rPr>
            </w:pPr>
          </w:p>
          <w:p w14:paraId="69784259">
            <w:pPr>
              <w:spacing w:line="292" w:lineRule="auto"/>
              <w:rPr>
                <w:rFonts w:ascii="Arial"/>
                <w:color w:val="auto"/>
                <w:sz w:val="24"/>
                <w:szCs w:val="24"/>
              </w:rPr>
            </w:pPr>
          </w:p>
          <w:p w14:paraId="1C584646">
            <w:pPr>
              <w:spacing w:line="293" w:lineRule="auto"/>
              <w:jc w:val="center"/>
              <w:rPr>
                <w:rFonts w:hint="eastAsia" w:ascii="Arial" w:eastAsiaTheme="minorEastAsia"/>
                <w:color w:val="auto"/>
                <w:sz w:val="24"/>
                <w:szCs w:val="24"/>
                <w:lang w:val="en-US" w:eastAsia="zh-CN"/>
              </w:rPr>
            </w:pPr>
            <w:r>
              <w:rPr>
                <w:rFonts w:hint="eastAsia" w:ascii="Arial"/>
                <w:color w:val="auto"/>
                <w:sz w:val="24"/>
                <w:szCs w:val="24"/>
                <w:lang w:val="en-US" w:eastAsia="zh-CN"/>
              </w:rPr>
              <w:t>房屋维护</w:t>
            </w:r>
          </w:p>
          <w:p w14:paraId="0F67D6C4">
            <w:pPr>
              <w:spacing w:line="293" w:lineRule="auto"/>
              <w:rPr>
                <w:rFonts w:ascii="Arial"/>
                <w:color w:val="auto"/>
                <w:sz w:val="24"/>
                <w:szCs w:val="24"/>
              </w:rPr>
            </w:pPr>
          </w:p>
          <w:p w14:paraId="3F1C7AC5">
            <w:pPr>
              <w:spacing w:line="297" w:lineRule="auto"/>
              <w:rPr>
                <w:rFonts w:ascii="Arial"/>
                <w:color w:val="auto"/>
                <w:sz w:val="24"/>
                <w:szCs w:val="24"/>
              </w:rPr>
            </w:pPr>
          </w:p>
          <w:p w14:paraId="6A0F05FB">
            <w:pPr>
              <w:spacing w:line="297" w:lineRule="auto"/>
              <w:rPr>
                <w:rFonts w:ascii="Arial"/>
                <w:color w:val="auto"/>
                <w:sz w:val="24"/>
                <w:szCs w:val="24"/>
              </w:rPr>
            </w:pPr>
          </w:p>
          <w:p w14:paraId="7F4549D3">
            <w:pPr>
              <w:spacing w:line="298" w:lineRule="auto"/>
              <w:rPr>
                <w:rFonts w:ascii="Arial"/>
                <w:color w:val="auto"/>
                <w:sz w:val="24"/>
                <w:szCs w:val="24"/>
              </w:rPr>
            </w:pPr>
          </w:p>
          <w:p w14:paraId="174175E4">
            <w:pPr>
              <w:spacing w:before="46" w:line="181" w:lineRule="auto"/>
              <w:ind w:left="445"/>
              <w:rPr>
                <w:rFonts w:ascii="Calibri" w:hAnsi="Calibri" w:eastAsia="Calibri" w:cs="Calibri"/>
                <w:color w:val="auto"/>
                <w:sz w:val="24"/>
                <w:szCs w:val="24"/>
              </w:rPr>
            </w:pPr>
          </w:p>
        </w:tc>
        <w:tc>
          <w:tcPr>
            <w:tcW w:w="6621" w:type="dxa"/>
            <w:vAlign w:val="top"/>
          </w:tcPr>
          <w:p w14:paraId="7FB4F272">
            <w:pPr>
              <w:pStyle w:val="15"/>
              <w:spacing w:before="6" w:line="192" w:lineRule="auto"/>
              <w:ind w:left="88" w:right="139" w:firstLine="17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定</w:t>
            </w:r>
            <w:r>
              <w:rPr>
                <w:rFonts w:hint="eastAsia" w:cs="宋体"/>
                <w:color w:val="auto"/>
                <w:spacing w:val="-2"/>
                <w:sz w:val="24"/>
                <w:szCs w:val="24"/>
                <w:lang w:val="en-US" w:eastAsia="zh-CN"/>
              </w:rPr>
              <w:t>期限</w:t>
            </w:r>
            <w:r>
              <w:rPr>
                <w:rFonts w:hint="eastAsia" w:ascii="宋体" w:hAnsi="宋体" w:eastAsia="宋体" w:cs="宋体"/>
                <w:color w:val="auto"/>
                <w:spacing w:val="-2"/>
                <w:sz w:val="24"/>
                <w:szCs w:val="24"/>
                <w:lang w:val="en-US" w:eastAsia="zh-CN"/>
              </w:rPr>
              <w:t>开展房屋主体结构、围护结构及部品部件的结构安全巡视工作，发现问题及时向采购人报告，按采购人要求出具维修方案，待采购人同意后按维修方案实施维修。</w:t>
            </w:r>
          </w:p>
          <w:p w14:paraId="22759786">
            <w:pPr>
              <w:pStyle w:val="15"/>
              <w:spacing w:line="195" w:lineRule="auto"/>
              <w:ind w:left="84" w:right="189" w:firstLine="183"/>
              <w:rPr>
                <w:rFonts w:hint="eastAsia"/>
                <w:color w:val="auto"/>
                <w:spacing w:val="-2"/>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Calibri" w:hAnsi="Calibri" w:cs="Calibri"/>
                <w:color w:val="auto"/>
                <w:sz w:val="24"/>
                <w:szCs w:val="24"/>
                <w:lang w:val="en-US" w:eastAsia="zh-CN"/>
              </w:rPr>
              <w:t>如遇恶劣雨雪、大风等天气后，需重点巡查，</w:t>
            </w:r>
            <w:r>
              <w:rPr>
                <w:rFonts w:hint="eastAsia"/>
                <w:color w:val="auto"/>
                <w:spacing w:val="-2"/>
                <w:sz w:val="24"/>
                <w:szCs w:val="24"/>
                <w:lang w:val="en-US" w:eastAsia="zh-CN"/>
              </w:rPr>
              <w:t>发现问题及时向采购人报告，按采购人要求出具维修方案，待采购人同意后按维修方案实施维修。</w:t>
            </w:r>
          </w:p>
          <w:p w14:paraId="77374E63">
            <w:pPr>
              <w:pStyle w:val="15"/>
              <w:spacing w:line="195" w:lineRule="auto"/>
              <w:ind w:left="84" w:right="189" w:firstLine="183"/>
              <w:rPr>
                <w:rFonts w:hint="eastAsia" w:ascii="宋体" w:hAnsi="宋体" w:eastAsia="宋体" w:cs="宋体"/>
                <w:color w:val="auto"/>
                <w:spacing w:val="-2"/>
                <w:sz w:val="24"/>
                <w:szCs w:val="24"/>
                <w:lang w:val="en-US"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cs="宋体"/>
                <w:color w:val="auto"/>
                <w:sz w:val="24"/>
                <w:szCs w:val="24"/>
                <w:lang w:val="en-US" w:eastAsia="zh-CN"/>
              </w:rPr>
              <w:t>定期开展大门、围墙、道路、场地、管井、沟渠、雨污水管井、化粪池的</w:t>
            </w:r>
            <w:r>
              <w:rPr>
                <w:rFonts w:hint="eastAsia" w:ascii="宋体" w:hAnsi="宋体" w:eastAsia="宋体" w:cs="宋体"/>
                <w:color w:val="auto"/>
                <w:spacing w:val="-2"/>
                <w:sz w:val="24"/>
                <w:szCs w:val="24"/>
                <w:lang w:val="en-US" w:eastAsia="zh-CN"/>
              </w:rPr>
              <w:t>安全巡视工作，发现问题及时向采购人报告，按采购人要求出具维修方案，待采购人同意后按维修方案实施维修。</w:t>
            </w:r>
          </w:p>
          <w:p w14:paraId="4FF21880">
            <w:pPr>
              <w:pStyle w:val="15"/>
              <w:spacing w:line="195" w:lineRule="auto"/>
              <w:ind w:left="84" w:right="189" w:firstLine="183"/>
              <w:rPr>
                <w:rFonts w:hint="eastAsia" w:cs="宋体"/>
                <w:color w:val="auto"/>
                <w:sz w:val="24"/>
                <w:szCs w:val="24"/>
                <w:lang w:val="en-US"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cs="宋体"/>
                <w:color w:val="auto"/>
                <w:sz w:val="24"/>
                <w:szCs w:val="24"/>
                <w:lang w:val="en-US" w:eastAsia="zh-CN"/>
              </w:rPr>
              <w:t>根据采购人要求，配合施工方完成房屋的装修及水、电、土建等方面的施工。</w:t>
            </w:r>
          </w:p>
          <w:p w14:paraId="0B40FA65">
            <w:pPr>
              <w:pStyle w:val="15"/>
              <w:spacing w:line="195" w:lineRule="auto"/>
              <w:ind w:left="84" w:right="189" w:firstLine="183"/>
              <w:rPr>
                <w:rFonts w:hint="default" w:cs="宋体"/>
                <w:color w:val="auto"/>
                <w:sz w:val="24"/>
                <w:szCs w:val="24"/>
                <w:lang w:val="en-US"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5</w:t>
            </w:r>
            <w:r>
              <w:rPr>
                <w:rFonts w:hint="eastAsia" w:ascii="宋体" w:hAnsi="宋体" w:eastAsia="宋体" w:cs="宋体"/>
                <w:color w:val="auto"/>
                <w:sz w:val="24"/>
                <w:szCs w:val="24"/>
                <w:lang w:eastAsia="zh-CN"/>
              </w:rPr>
              <w:t>）标识标牌符合《公共信息图形符号第1部分：通用符号》（GB/T10001.1）的相关要求，消防与安全标识符合《安全标志及其使用导则》（GB2894）、《消防安全标志第1部分：标志》（GB13495.1）的相关要求</w:t>
            </w:r>
            <w:r>
              <w:rPr>
                <w:rFonts w:hint="eastAsia" w:cs="宋体"/>
                <w:color w:val="auto"/>
                <w:sz w:val="24"/>
                <w:szCs w:val="24"/>
                <w:lang w:eastAsia="zh-CN"/>
              </w:rPr>
              <w:t>，</w:t>
            </w:r>
            <w:r>
              <w:rPr>
                <w:rFonts w:hint="eastAsia" w:cs="宋体"/>
                <w:color w:val="auto"/>
                <w:sz w:val="24"/>
                <w:szCs w:val="24"/>
                <w:lang w:val="en-US" w:eastAsia="zh-CN"/>
              </w:rPr>
              <w:t>并定期检查，发现问题及时上报采购人。</w:t>
            </w:r>
          </w:p>
        </w:tc>
      </w:tr>
      <w:tr w14:paraId="67CF3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724" w:type="dxa"/>
            <w:vAlign w:val="center"/>
          </w:tcPr>
          <w:p w14:paraId="32C39ED3">
            <w:pPr>
              <w:spacing w:before="46" w:line="181" w:lineRule="auto"/>
              <w:jc w:val="center"/>
              <w:rPr>
                <w:rFonts w:ascii="Calibri" w:hAnsi="Calibri" w:eastAsia="Calibri" w:cs="Calibri"/>
                <w:color w:val="auto"/>
                <w:sz w:val="24"/>
                <w:szCs w:val="24"/>
              </w:rPr>
            </w:pPr>
            <w:r>
              <w:rPr>
                <w:rFonts w:hint="eastAsia" w:ascii="Calibri" w:hAnsi="Calibri" w:eastAsia="Calibri" w:cs="Calibri"/>
                <w:color w:val="auto"/>
                <w:sz w:val="24"/>
                <w:szCs w:val="24"/>
              </w:rPr>
              <w:t>设备机房</w:t>
            </w:r>
          </w:p>
        </w:tc>
        <w:tc>
          <w:tcPr>
            <w:tcW w:w="6621" w:type="dxa"/>
            <w:vAlign w:val="top"/>
          </w:tcPr>
          <w:p w14:paraId="301BD3AD">
            <w:pPr>
              <w:pStyle w:val="15"/>
              <w:numPr>
                <w:ilvl w:val="0"/>
                <w:numId w:val="4"/>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按各设备机房国家标准规范规定维护/保管消防、通风、应急照明，防止小动物进入。</w:t>
            </w:r>
          </w:p>
          <w:p w14:paraId="655FBC0B">
            <w:pPr>
              <w:pStyle w:val="15"/>
              <w:numPr>
                <w:ilvl w:val="0"/>
                <w:numId w:val="4"/>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p w14:paraId="55D227C7">
            <w:pPr>
              <w:pStyle w:val="15"/>
              <w:numPr>
                <w:ilvl w:val="0"/>
                <w:numId w:val="4"/>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安全防护用具配置齐全，检验合格。应急设施设备用品应当齐全、完备，可随时启用。</w:t>
            </w:r>
          </w:p>
        </w:tc>
      </w:tr>
      <w:tr w14:paraId="53F4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jc w:val="center"/>
        </w:trPr>
        <w:tc>
          <w:tcPr>
            <w:tcW w:w="724" w:type="dxa"/>
            <w:vAlign w:val="top"/>
          </w:tcPr>
          <w:p w14:paraId="4EFF6212">
            <w:pPr>
              <w:spacing w:line="250" w:lineRule="auto"/>
              <w:rPr>
                <w:rFonts w:ascii="Arial"/>
                <w:color w:val="auto"/>
                <w:sz w:val="21"/>
              </w:rPr>
            </w:pPr>
          </w:p>
          <w:p w14:paraId="63080389">
            <w:pPr>
              <w:spacing w:line="250" w:lineRule="auto"/>
              <w:rPr>
                <w:rFonts w:ascii="Arial"/>
                <w:color w:val="auto"/>
                <w:sz w:val="21"/>
              </w:rPr>
            </w:pPr>
          </w:p>
          <w:p w14:paraId="22121288">
            <w:pPr>
              <w:spacing w:line="250" w:lineRule="auto"/>
              <w:rPr>
                <w:rFonts w:ascii="Arial"/>
                <w:color w:val="auto"/>
                <w:sz w:val="21"/>
              </w:rPr>
            </w:pPr>
          </w:p>
          <w:p w14:paraId="311F9AC1">
            <w:pPr>
              <w:spacing w:line="250" w:lineRule="auto"/>
              <w:rPr>
                <w:rFonts w:ascii="Arial"/>
                <w:color w:val="auto"/>
                <w:sz w:val="21"/>
              </w:rPr>
            </w:pPr>
          </w:p>
          <w:p w14:paraId="25B3CD7D">
            <w:pPr>
              <w:pStyle w:val="15"/>
              <w:spacing w:before="49" w:line="221" w:lineRule="auto"/>
              <w:ind w:left="77" w:leftChars="0"/>
              <w:jc w:val="center"/>
              <w:rPr>
                <w:rFonts w:hint="eastAsia" w:ascii="Calibri" w:hAnsi="Calibri" w:eastAsia="Calibri" w:cs="Calibri"/>
                <w:color w:val="auto"/>
                <w:sz w:val="24"/>
                <w:szCs w:val="24"/>
              </w:rPr>
            </w:pPr>
            <w:r>
              <w:rPr>
                <w:color w:val="auto"/>
                <w:spacing w:val="-2"/>
                <w:sz w:val="24"/>
                <w:szCs w:val="24"/>
              </w:rPr>
              <w:t>给排水系统</w:t>
            </w:r>
          </w:p>
        </w:tc>
        <w:tc>
          <w:tcPr>
            <w:tcW w:w="6621" w:type="dxa"/>
            <w:vAlign w:val="top"/>
          </w:tcPr>
          <w:p w14:paraId="17D6200F">
            <w:pPr>
              <w:pStyle w:val="15"/>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生活饮用水卫生符合《生活饮用水卫生标准》（GB5749）的相关要求。</w:t>
            </w:r>
          </w:p>
          <w:p w14:paraId="051CC2DB">
            <w:pPr>
              <w:pStyle w:val="15"/>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二次供水卫生符合《二次供水设施卫生规范》（GB17051）的相关要求。</w:t>
            </w:r>
          </w:p>
          <w:p w14:paraId="165E02AE">
            <w:pPr>
              <w:pStyle w:val="15"/>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有水泵房、水箱间的，</w:t>
            </w:r>
            <w:r>
              <w:rPr>
                <w:rFonts w:hint="eastAsia" w:cs="宋体"/>
                <w:color w:val="auto"/>
                <w:sz w:val="24"/>
                <w:szCs w:val="24"/>
                <w:lang w:val="en-US" w:eastAsia="zh-CN"/>
              </w:rPr>
              <w:t>定时</w:t>
            </w:r>
            <w:r>
              <w:rPr>
                <w:rFonts w:hint="eastAsia" w:ascii="宋体" w:hAnsi="宋体" w:eastAsia="宋体" w:cs="宋体"/>
                <w:color w:val="auto"/>
                <w:sz w:val="24"/>
                <w:szCs w:val="24"/>
                <w:lang w:eastAsia="zh-CN"/>
              </w:rPr>
              <w:t>巡视</w:t>
            </w:r>
            <w:r>
              <w:rPr>
                <w:rFonts w:hint="eastAsia" w:cs="宋体"/>
                <w:color w:val="auto"/>
                <w:sz w:val="24"/>
                <w:szCs w:val="24"/>
                <w:lang w:eastAsia="zh-CN"/>
              </w:rPr>
              <w:t>、</w:t>
            </w:r>
            <w:r>
              <w:rPr>
                <w:rFonts w:hint="eastAsia" w:cs="宋体"/>
                <w:color w:val="auto"/>
                <w:sz w:val="24"/>
                <w:szCs w:val="24"/>
                <w:lang w:val="en-US" w:eastAsia="zh-CN"/>
              </w:rPr>
              <w:t>养护</w:t>
            </w:r>
            <w:r>
              <w:rPr>
                <w:rFonts w:hint="eastAsia" w:ascii="宋体" w:hAnsi="宋体" w:eastAsia="宋体" w:cs="宋体"/>
                <w:color w:val="auto"/>
                <w:sz w:val="24"/>
                <w:szCs w:val="24"/>
                <w:lang w:eastAsia="zh-CN"/>
              </w:rPr>
              <w:t>。设施设备、阀门、管道等运行正常，无跑、冒、滴、漏现象。</w:t>
            </w:r>
          </w:p>
          <w:p w14:paraId="723CA4AD">
            <w:pPr>
              <w:pStyle w:val="15"/>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遇供水单位限水、停水，按规定时间通知采购人。</w:t>
            </w:r>
          </w:p>
          <w:p w14:paraId="0421D749">
            <w:pPr>
              <w:pStyle w:val="15"/>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cs="宋体"/>
                <w:color w:val="auto"/>
                <w:sz w:val="24"/>
                <w:szCs w:val="24"/>
                <w:lang w:val="en-US" w:eastAsia="zh-CN"/>
              </w:rPr>
              <w:t>及时</w:t>
            </w:r>
            <w:r>
              <w:rPr>
                <w:rFonts w:hint="eastAsia" w:ascii="宋体" w:hAnsi="宋体" w:eastAsia="宋体" w:cs="宋体"/>
                <w:color w:val="auto"/>
                <w:sz w:val="24"/>
                <w:szCs w:val="24"/>
                <w:lang w:eastAsia="zh-CN"/>
              </w:rPr>
              <w:t>对排水管进行疏通、清污，保证室内外排水系统通畅。</w:t>
            </w:r>
          </w:p>
          <w:p w14:paraId="5C7FBE29">
            <w:pPr>
              <w:pStyle w:val="15"/>
              <w:numPr>
                <w:ilvl w:val="0"/>
                <w:numId w:val="0"/>
              </w:numPr>
              <w:spacing w:line="195" w:lineRule="auto"/>
              <w:ind w:right="189" w:rightChars="0"/>
              <w:rPr>
                <w:rFonts w:hint="eastAsia" w:ascii="宋体" w:hAnsi="宋体" w:eastAsia="宋体" w:cs="宋体"/>
                <w:color w:val="auto"/>
                <w:sz w:val="24"/>
                <w:szCs w:val="24"/>
                <w:lang w:eastAsia="zh-CN"/>
              </w:rPr>
            </w:pPr>
          </w:p>
        </w:tc>
      </w:tr>
      <w:tr w14:paraId="4D4DA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jc w:val="center"/>
        </w:trPr>
        <w:tc>
          <w:tcPr>
            <w:tcW w:w="724" w:type="dxa"/>
            <w:vAlign w:val="center"/>
          </w:tcPr>
          <w:p w14:paraId="765314FB">
            <w:pPr>
              <w:pStyle w:val="15"/>
              <w:spacing w:before="13" w:line="221" w:lineRule="auto"/>
              <w:ind w:left="94" w:leftChars="0"/>
              <w:jc w:val="center"/>
              <w:rPr>
                <w:color w:val="auto"/>
                <w:spacing w:val="-2"/>
                <w:sz w:val="24"/>
                <w:szCs w:val="24"/>
              </w:rPr>
            </w:pPr>
            <w:r>
              <w:rPr>
                <w:color w:val="auto"/>
                <w:spacing w:val="-6"/>
                <w:sz w:val="24"/>
                <w:szCs w:val="24"/>
                <w:highlight w:val="none"/>
              </w:rPr>
              <w:t>电梯系统</w:t>
            </w:r>
          </w:p>
        </w:tc>
        <w:tc>
          <w:tcPr>
            <w:tcW w:w="6621" w:type="dxa"/>
            <w:vAlign w:val="top"/>
          </w:tcPr>
          <w:p w14:paraId="4A9F2C9A">
            <w:pPr>
              <w:pStyle w:val="15"/>
              <w:numPr>
                <w:ilvl w:val="0"/>
                <w:numId w:val="6"/>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电梯运行平稳、无异响、平层、开关正常。</w:t>
            </w:r>
            <w:r>
              <w:rPr>
                <w:rFonts w:hint="eastAsia" w:cs="宋体"/>
                <w:color w:val="auto"/>
                <w:sz w:val="24"/>
                <w:szCs w:val="24"/>
                <w:lang w:val="en-US" w:eastAsia="zh-CN"/>
              </w:rPr>
              <w:t>定期</w:t>
            </w:r>
            <w:r>
              <w:rPr>
                <w:rFonts w:hint="eastAsia" w:ascii="宋体" w:hAnsi="宋体" w:eastAsia="宋体" w:cs="宋体"/>
                <w:color w:val="auto"/>
                <w:sz w:val="24"/>
                <w:szCs w:val="24"/>
                <w:lang w:eastAsia="zh-CN"/>
              </w:rPr>
              <w:t>开展电梯的安全状况检查。</w:t>
            </w:r>
          </w:p>
          <w:p w14:paraId="25169582">
            <w:pPr>
              <w:pStyle w:val="15"/>
              <w:numPr>
                <w:ilvl w:val="0"/>
                <w:numId w:val="6"/>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电梯准用证、年检合格证等证件齐全。相关证件、紧急救援电话和乘客注意事项置于轿厢醒目位置。</w:t>
            </w:r>
          </w:p>
          <w:p w14:paraId="6EDFD7F7">
            <w:pPr>
              <w:pStyle w:val="15"/>
              <w:numPr>
                <w:ilvl w:val="0"/>
                <w:numId w:val="6"/>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每年至少开展1次对电梯的全面检测，并出具检测报告，核发电梯使用标志。</w:t>
            </w:r>
          </w:p>
          <w:p w14:paraId="42CF7206">
            <w:pPr>
              <w:pStyle w:val="15"/>
              <w:numPr>
                <w:ilvl w:val="0"/>
                <w:numId w:val="6"/>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电梯维保应当符合《电梯维护保养规则》（TSGT5002）的有关要求。</w:t>
            </w:r>
          </w:p>
          <w:p w14:paraId="4D36846B">
            <w:pPr>
              <w:pStyle w:val="15"/>
              <w:numPr>
                <w:ilvl w:val="0"/>
                <w:numId w:val="6"/>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电梯使用应当符合《特种设备使用管理规则》（TSG08）的有关要求。</w:t>
            </w:r>
          </w:p>
          <w:p w14:paraId="7E80862C">
            <w:pPr>
              <w:pStyle w:val="15"/>
              <w:numPr>
                <w:ilvl w:val="0"/>
                <w:numId w:val="6"/>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有电梯突发事件或事故的应急措施与救援预案。电梯出现故障，物业服务人员10分钟内到场应急处理，维保专业人员30分钟内到场应急处理。到场进行救助和排除故障。电梯紧急电话保持畅通。</w:t>
            </w:r>
          </w:p>
          <w:p w14:paraId="45D24CB5">
            <w:pPr>
              <w:pStyle w:val="15"/>
              <w:numPr>
                <w:ilvl w:val="0"/>
                <w:numId w:val="6"/>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电梯维修、保养时在现场设置提示标识和防护围栏。</w:t>
            </w:r>
          </w:p>
          <w:p w14:paraId="50CCD9B7">
            <w:pPr>
              <w:pStyle w:val="15"/>
              <w:numPr>
                <w:ilvl w:val="0"/>
                <w:numId w:val="0"/>
              </w:numPr>
              <w:spacing w:line="195" w:lineRule="auto"/>
              <w:ind w:right="189" w:rightChars="0"/>
              <w:rPr>
                <w:rFonts w:hint="eastAsia" w:ascii="宋体" w:hAnsi="宋体" w:eastAsia="宋体" w:cs="宋体"/>
                <w:color w:val="auto"/>
                <w:sz w:val="24"/>
                <w:szCs w:val="24"/>
                <w:lang w:eastAsia="zh-CN"/>
              </w:rPr>
            </w:pPr>
          </w:p>
        </w:tc>
      </w:tr>
      <w:tr w14:paraId="2CE3B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jc w:val="center"/>
        </w:trPr>
        <w:tc>
          <w:tcPr>
            <w:tcW w:w="724" w:type="dxa"/>
            <w:vAlign w:val="top"/>
          </w:tcPr>
          <w:p w14:paraId="49078F85">
            <w:pPr>
              <w:spacing w:line="255" w:lineRule="auto"/>
              <w:rPr>
                <w:rFonts w:ascii="Arial"/>
                <w:color w:val="auto"/>
                <w:sz w:val="21"/>
                <w:highlight w:val="green"/>
              </w:rPr>
            </w:pPr>
          </w:p>
          <w:p w14:paraId="28F77843">
            <w:pPr>
              <w:spacing w:line="255" w:lineRule="auto"/>
              <w:rPr>
                <w:rFonts w:ascii="Arial"/>
                <w:color w:val="auto"/>
                <w:sz w:val="21"/>
                <w:highlight w:val="green"/>
              </w:rPr>
            </w:pPr>
          </w:p>
          <w:p w14:paraId="7A0F870E">
            <w:pPr>
              <w:spacing w:line="256" w:lineRule="auto"/>
              <w:rPr>
                <w:rFonts w:ascii="Arial"/>
                <w:color w:val="auto"/>
                <w:sz w:val="21"/>
                <w:highlight w:val="green"/>
              </w:rPr>
            </w:pPr>
          </w:p>
          <w:p w14:paraId="425AF289">
            <w:pPr>
              <w:spacing w:line="256" w:lineRule="auto"/>
              <w:rPr>
                <w:rFonts w:ascii="Arial"/>
                <w:color w:val="auto"/>
                <w:sz w:val="21"/>
                <w:highlight w:val="green"/>
              </w:rPr>
            </w:pPr>
          </w:p>
          <w:p w14:paraId="43E0825A">
            <w:pPr>
              <w:spacing w:line="256" w:lineRule="auto"/>
              <w:rPr>
                <w:rFonts w:ascii="Arial"/>
                <w:color w:val="auto"/>
                <w:sz w:val="21"/>
                <w:highlight w:val="green"/>
              </w:rPr>
            </w:pPr>
          </w:p>
          <w:p w14:paraId="4B85CA5F">
            <w:pPr>
              <w:spacing w:line="256" w:lineRule="auto"/>
              <w:rPr>
                <w:rFonts w:ascii="Arial"/>
                <w:color w:val="auto"/>
                <w:sz w:val="21"/>
                <w:highlight w:val="green"/>
              </w:rPr>
            </w:pPr>
          </w:p>
          <w:p w14:paraId="6C21CFAC">
            <w:pPr>
              <w:spacing w:line="256" w:lineRule="auto"/>
              <w:rPr>
                <w:rFonts w:ascii="Arial"/>
                <w:color w:val="auto"/>
                <w:sz w:val="21"/>
                <w:highlight w:val="green"/>
              </w:rPr>
            </w:pPr>
          </w:p>
          <w:p w14:paraId="42BBC4D0">
            <w:pPr>
              <w:pStyle w:val="15"/>
              <w:spacing w:before="49" w:line="222" w:lineRule="auto"/>
              <w:ind w:left="81" w:leftChars="0"/>
              <w:jc w:val="center"/>
              <w:rPr>
                <w:color w:val="auto"/>
                <w:spacing w:val="-6"/>
                <w:sz w:val="24"/>
                <w:szCs w:val="24"/>
                <w:highlight w:val="none"/>
              </w:rPr>
            </w:pPr>
            <w:r>
              <w:rPr>
                <w:color w:val="auto"/>
                <w:spacing w:val="-3"/>
                <w:sz w:val="24"/>
                <w:szCs w:val="24"/>
                <w:highlight w:val="none"/>
              </w:rPr>
              <w:t>空调系统</w:t>
            </w:r>
          </w:p>
        </w:tc>
        <w:tc>
          <w:tcPr>
            <w:tcW w:w="6621" w:type="dxa"/>
            <w:vAlign w:val="top"/>
          </w:tcPr>
          <w:p w14:paraId="3390C5E7">
            <w:pPr>
              <w:pStyle w:val="15"/>
              <w:spacing w:before="5" w:line="171" w:lineRule="auto"/>
              <w:ind w:left="266"/>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（1）空调通风系统运行管理符合《空调通风系统运行管理标准》（GB50365）的相关要</w:t>
            </w:r>
            <w:r>
              <w:rPr>
                <w:rFonts w:hint="eastAsia" w:ascii="宋体" w:hAnsi="宋体" w:eastAsia="宋体" w:cs="宋体"/>
                <w:color w:val="auto"/>
                <w:spacing w:val="-4"/>
                <w:sz w:val="24"/>
                <w:szCs w:val="24"/>
              </w:rPr>
              <w:t>求。</w:t>
            </w:r>
          </w:p>
          <w:p w14:paraId="27DA6206">
            <w:pPr>
              <w:pStyle w:val="15"/>
              <w:spacing w:before="45" w:line="234" w:lineRule="auto"/>
              <w:ind w:firstLine="236" w:firstLineChars="10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（2）办公楼内温湿度、空气质量等符合《室内空气质量标准》（GB/T18883）的相关要求。</w:t>
            </w:r>
          </w:p>
          <w:p w14:paraId="3968A099">
            <w:pPr>
              <w:pStyle w:val="15"/>
              <w:spacing w:before="71" w:line="191" w:lineRule="auto"/>
              <w:ind w:left="266" w:left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（3）定期维保并做好记录，保证</w:t>
            </w:r>
            <w:r>
              <w:rPr>
                <w:rFonts w:hint="eastAsia" w:ascii="宋体" w:hAnsi="宋体" w:eastAsia="宋体" w:cs="宋体"/>
                <w:color w:val="auto"/>
                <w:spacing w:val="-3"/>
                <w:sz w:val="24"/>
                <w:szCs w:val="24"/>
              </w:rPr>
              <w:t>空调设施设备处于良好状态。</w:t>
            </w:r>
          </w:p>
          <w:p w14:paraId="67B41AB0">
            <w:pPr>
              <w:pStyle w:val="15"/>
              <w:spacing w:before="7" w:line="191" w:lineRule="auto"/>
              <w:ind w:left="85" w:leftChars="0" w:right="173" w:rightChars="0" w:firstLine="180" w:firstLine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（4）中央空调运行前对冷水机组、循环水泵、冷却塔、风机等设施设备进行系统检查，运</w:t>
            </w:r>
            <w:r>
              <w:rPr>
                <w:rFonts w:hint="eastAsia" w:ascii="宋体" w:hAnsi="宋体" w:eastAsia="宋体" w:cs="宋体"/>
                <w:color w:val="auto"/>
                <w:spacing w:val="-1"/>
                <w:sz w:val="24"/>
                <w:szCs w:val="24"/>
              </w:rPr>
              <w:t>行期间每日至少开展1次运行情况巡查。</w:t>
            </w:r>
          </w:p>
          <w:p w14:paraId="54B2964A">
            <w:pPr>
              <w:pStyle w:val="15"/>
              <w:spacing w:before="71" w:line="191" w:lineRule="auto"/>
              <w:ind w:left="266" w:leftChars="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（5）每半年至少开展1次管道、阀门检查并除锈。</w:t>
            </w:r>
          </w:p>
          <w:p w14:paraId="01E3AB73">
            <w:pPr>
              <w:pStyle w:val="15"/>
              <w:spacing w:before="61" w:line="191" w:lineRule="auto"/>
              <w:ind w:left="266" w:left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（6）每年至少开展1次系统整体性维修养护，检验1次压力容器、仪表及冷却塔噪声。</w:t>
            </w:r>
          </w:p>
          <w:p w14:paraId="4AF7B149">
            <w:pPr>
              <w:pStyle w:val="15"/>
              <w:spacing w:before="8" w:line="171" w:lineRule="auto"/>
              <w:ind w:left="266"/>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（7）每年至少开展1次新风机、空气处理机滤网等清洗消毒；每2年至少开展1次风管清洗消</w:t>
            </w:r>
            <w:r>
              <w:rPr>
                <w:rFonts w:hint="eastAsia" w:ascii="宋体" w:hAnsi="宋体" w:eastAsia="宋体" w:cs="宋体"/>
                <w:color w:val="auto"/>
                <w:spacing w:val="-4"/>
                <w:sz w:val="24"/>
                <w:szCs w:val="24"/>
              </w:rPr>
              <w:t>毒。</w:t>
            </w:r>
          </w:p>
          <w:p w14:paraId="52E772B8">
            <w:pPr>
              <w:pStyle w:val="15"/>
              <w:spacing w:before="7" w:line="191" w:lineRule="auto"/>
              <w:ind w:left="83" w:leftChars="0" w:right="172" w:rightChars="0" w:firstLine="182" w:firstLine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（8）每年至少开展1次分体式空调主机（含空调过滤网）和室外机清洁。每月至少开展1次</w:t>
            </w:r>
            <w:r>
              <w:rPr>
                <w:rFonts w:hint="eastAsia" w:ascii="宋体" w:hAnsi="宋体" w:eastAsia="宋体" w:cs="宋体"/>
                <w:color w:val="auto"/>
                <w:spacing w:val="-1"/>
                <w:sz w:val="24"/>
                <w:szCs w:val="24"/>
              </w:rPr>
              <w:t>挂机和室外支架稳固性巡查。</w:t>
            </w:r>
          </w:p>
          <w:p w14:paraId="44C1860D">
            <w:pPr>
              <w:pStyle w:val="15"/>
              <w:spacing w:before="73" w:line="190" w:lineRule="auto"/>
              <w:ind w:left="266" w:leftChars="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（9）制冷、供暖系统温度设定及启用时间符合节能要求。</w:t>
            </w:r>
          </w:p>
          <w:p w14:paraId="1BE99E4C">
            <w:pPr>
              <w:pStyle w:val="15"/>
              <w:spacing w:before="9" w:line="190" w:lineRule="auto"/>
              <w:ind w:left="101" w:leftChars="0" w:right="94" w:rightChars="0" w:firstLine="164" w:firstLineChars="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（10）发现故障或损坏应当在30分钟内到场，紧急维修应当在15分钟内到达现场，在12小时</w:t>
            </w:r>
            <w:r>
              <w:rPr>
                <w:rFonts w:hint="eastAsia" w:ascii="宋体" w:hAnsi="宋体" w:eastAsia="宋体" w:cs="宋体"/>
                <w:color w:val="auto"/>
                <w:spacing w:val="-5"/>
                <w:sz w:val="24"/>
                <w:szCs w:val="24"/>
              </w:rPr>
              <w:t>内维修完毕。</w:t>
            </w:r>
          </w:p>
        </w:tc>
      </w:tr>
      <w:tr w14:paraId="61873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vAlign w:val="top"/>
          </w:tcPr>
          <w:p w14:paraId="66216265">
            <w:pPr>
              <w:spacing w:line="271" w:lineRule="auto"/>
              <w:rPr>
                <w:rFonts w:hint="eastAsia" w:ascii="宋体" w:hAnsi="宋体" w:eastAsia="宋体" w:cs="宋体"/>
                <w:color w:val="auto"/>
                <w:sz w:val="24"/>
                <w:szCs w:val="24"/>
              </w:rPr>
            </w:pPr>
          </w:p>
          <w:p w14:paraId="0776E62D">
            <w:pPr>
              <w:spacing w:line="271" w:lineRule="auto"/>
              <w:rPr>
                <w:rFonts w:hint="eastAsia" w:ascii="宋体" w:hAnsi="宋体" w:eastAsia="宋体" w:cs="宋体"/>
                <w:color w:val="auto"/>
                <w:sz w:val="24"/>
                <w:szCs w:val="24"/>
              </w:rPr>
            </w:pPr>
          </w:p>
          <w:p w14:paraId="21CCB3E7">
            <w:pPr>
              <w:spacing w:line="271" w:lineRule="auto"/>
              <w:rPr>
                <w:rFonts w:hint="eastAsia" w:ascii="宋体" w:hAnsi="宋体" w:eastAsia="宋体" w:cs="宋体"/>
                <w:color w:val="auto"/>
                <w:sz w:val="24"/>
                <w:szCs w:val="24"/>
              </w:rPr>
            </w:pPr>
          </w:p>
          <w:p w14:paraId="17FC5184">
            <w:pPr>
              <w:spacing w:line="271" w:lineRule="auto"/>
              <w:rPr>
                <w:rFonts w:hint="eastAsia" w:ascii="宋体" w:hAnsi="宋体" w:eastAsia="宋体" w:cs="宋体"/>
                <w:color w:val="auto"/>
                <w:sz w:val="24"/>
                <w:szCs w:val="24"/>
              </w:rPr>
            </w:pPr>
          </w:p>
          <w:p w14:paraId="3B271606">
            <w:pPr>
              <w:spacing w:line="271" w:lineRule="auto"/>
              <w:rPr>
                <w:rFonts w:hint="eastAsia" w:ascii="宋体" w:hAnsi="宋体" w:eastAsia="宋体" w:cs="宋体"/>
                <w:color w:val="auto"/>
                <w:sz w:val="24"/>
                <w:szCs w:val="24"/>
              </w:rPr>
            </w:pPr>
          </w:p>
          <w:p w14:paraId="42239AFC">
            <w:pPr>
              <w:pStyle w:val="15"/>
              <w:spacing w:before="49" w:line="221" w:lineRule="auto"/>
              <w:ind w:left="79" w:left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rPr>
              <w:t>消防系统</w:t>
            </w:r>
          </w:p>
        </w:tc>
        <w:tc>
          <w:tcPr>
            <w:tcW w:w="6621" w:type="dxa"/>
            <w:vAlign w:val="top"/>
          </w:tcPr>
          <w:p w14:paraId="746D5B5B">
            <w:pPr>
              <w:pStyle w:val="15"/>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（1）消防设施的维护管理符合《建筑消防设施的维护管理》（GB25201）的相关要求。</w:t>
            </w:r>
          </w:p>
          <w:p w14:paraId="2F2C87CE">
            <w:pPr>
              <w:pStyle w:val="15"/>
              <w:spacing w:before="75" w:line="191" w:lineRule="auto"/>
              <w:ind w:firstLine="236" w:firstLineChars="10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（2）消防设备检测符合《建筑消防设施检测技术规程》（GA503或XF503）的相关要求。</w:t>
            </w:r>
          </w:p>
          <w:p w14:paraId="2F6AF4D8">
            <w:pPr>
              <w:pStyle w:val="15"/>
              <w:spacing w:before="75" w:line="191" w:lineRule="auto"/>
              <w:ind w:firstLine="236" w:firstLineChars="10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（3）消防设施平面图、火警疏散示意图、防火分区图等按幢设置在楼层醒目位置。</w:t>
            </w:r>
          </w:p>
          <w:p w14:paraId="34E3A898">
            <w:pPr>
              <w:pStyle w:val="15"/>
              <w:spacing w:before="76" w:line="191" w:lineRule="auto"/>
              <w:ind w:left="266" w:left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3"/>
                <w:sz w:val="24"/>
                <w:szCs w:val="24"/>
              </w:rPr>
              <w:t>（4）消防系统各设施设备使用说明清晰，宜图文结合。</w:t>
            </w:r>
          </w:p>
          <w:p w14:paraId="026F1085">
            <w:pPr>
              <w:pStyle w:val="15"/>
              <w:spacing w:before="76" w:line="191" w:lineRule="auto"/>
              <w:ind w:left="266" w:left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4"/>
                <w:sz w:val="24"/>
                <w:szCs w:val="24"/>
              </w:rPr>
              <w:t>（5）自动喷水灭火系统启动正常。</w:t>
            </w:r>
          </w:p>
          <w:p w14:paraId="52E37E85">
            <w:pPr>
              <w:pStyle w:val="15"/>
              <w:spacing w:before="11" w:line="189" w:lineRule="auto"/>
              <w:ind w:left="83" w:leftChars="0" w:right="173" w:rightChars="0" w:firstLine="182" w:firstLine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（6）消火栓箱、防火门、灭火器、消防水泵、红外线报警器、应急照明、安全疏散等系统运行正常。</w:t>
            </w:r>
          </w:p>
          <w:p w14:paraId="2080468B">
            <w:pPr>
              <w:pStyle w:val="15"/>
              <w:spacing w:before="77" w:line="191" w:lineRule="auto"/>
              <w:ind w:left="266" w:left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（7）消防监控系统运行良好，自</w:t>
            </w:r>
            <w:r>
              <w:rPr>
                <w:rFonts w:hint="eastAsia" w:ascii="宋体" w:hAnsi="宋体" w:eastAsia="宋体" w:cs="宋体"/>
                <w:color w:val="auto"/>
                <w:spacing w:val="-3"/>
                <w:sz w:val="24"/>
                <w:szCs w:val="24"/>
              </w:rPr>
              <w:t>动和手动报警设施启动正常。</w:t>
            </w:r>
          </w:p>
          <w:p w14:paraId="00466A61">
            <w:pPr>
              <w:pStyle w:val="15"/>
              <w:spacing w:before="77" w:line="191" w:lineRule="auto"/>
              <w:ind w:left="266" w:leftChars="0"/>
              <w:rPr>
                <w:rFonts w:hint="eastAsia" w:ascii="宋体" w:hAnsi="宋体" w:eastAsia="宋体" w:cs="宋体"/>
                <w:color w:val="auto"/>
                <w:spacing w:val="-2"/>
                <w:sz w:val="24"/>
                <w:szCs w:val="24"/>
              </w:rPr>
            </w:pPr>
            <w:r>
              <w:rPr>
                <w:rFonts w:hint="eastAsia" w:ascii="宋体" w:hAnsi="宋体" w:eastAsia="宋体" w:cs="宋体"/>
                <w:color w:val="auto"/>
                <w:spacing w:val="-4"/>
                <w:sz w:val="24"/>
                <w:szCs w:val="24"/>
              </w:rPr>
              <w:t>（8）正压送风、防排烟系统运行正常。</w:t>
            </w:r>
          </w:p>
        </w:tc>
      </w:tr>
      <w:tr w14:paraId="6E6CB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724" w:type="dxa"/>
            <w:vAlign w:val="top"/>
          </w:tcPr>
          <w:p w14:paraId="5065D6B6">
            <w:pPr>
              <w:spacing w:line="267" w:lineRule="auto"/>
              <w:rPr>
                <w:rFonts w:hint="eastAsia" w:ascii="宋体" w:hAnsi="宋体" w:eastAsia="宋体" w:cs="宋体"/>
                <w:color w:val="auto"/>
                <w:sz w:val="24"/>
                <w:szCs w:val="24"/>
              </w:rPr>
            </w:pPr>
          </w:p>
          <w:p w14:paraId="0C1A193C">
            <w:pPr>
              <w:spacing w:line="267" w:lineRule="auto"/>
              <w:rPr>
                <w:rFonts w:hint="eastAsia" w:ascii="宋体" w:hAnsi="宋体" w:eastAsia="宋体" w:cs="宋体"/>
                <w:color w:val="auto"/>
                <w:sz w:val="24"/>
                <w:szCs w:val="24"/>
              </w:rPr>
            </w:pPr>
          </w:p>
          <w:p w14:paraId="5DAB0620">
            <w:pPr>
              <w:spacing w:line="267" w:lineRule="auto"/>
              <w:rPr>
                <w:rFonts w:hint="eastAsia" w:ascii="宋体" w:hAnsi="宋体" w:eastAsia="宋体" w:cs="宋体"/>
                <w:color w:val="auto"/>
                <w:sz w:val="24"/>
                <w:szCs w:val="24"/>
              </w:rPr>
            </w:pPr>
          </w:p>
          <w:p w14:paraId="3680A928">
            <w:pPr>
              <w:spacing w:line="267" w:lineRule="auto"/>
              <w:rPr>
                <w:rFonts w:hint="eastAsia" w:ascii="宋体" w:hAnsi="宋体" w:eastAsia="宋体" w:cs="宋体"/>
                <w:color w:val="auto"/>
                <w:sz w:val="24"/>
                <w:szCs w:val="24"/>
              </w:rPr>
            </w:pPr>
          </w:p>
          <w:p w14:paraId="77E5ECBA">
            <w:pPr>
              <w:pStyle w:val="15"/>
              <w:spacing w:before="49" w:line="220" w:lineRule="auto"/>
              <w:ind w:left="76" w:left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rPr>
              <w:t>供配电系统</w:t>
            </w:r>
          </w:p>
        </w:tc>
        <w:tc>
          <w:tcPr>
            <w:tcW w:w="6621" w:type="dxa"/>
            <w:vAlign w:val="top"/>
          </w:tcPr>
          <w:p w14:paraId="34A19472">
            <w:pPr>
              <w:pStyle w:val="15"/>
              <w:spacing w:before="77" w:line="191" w:lineRule="auto"/>
              <w:ind w:left="266" w:leftChars="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（1）建立24小时运行值班监控制度。</w:t>
            </w:r>
          </w:p>
          <w:p w14:paraId="6CAA2452">
            <w:pPr>
              <w:pStyle w:val="15"/>
              <w:spacing w:before="13" w:line="188" w:lineRule="auto"/>
              <w:ind w:left="84" w:leftChars="0" w:right="173" w:rightChars="0" w:firstLine="181" w:firstLine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（2）对供电范围内的电气设备定期巡视维护，加强高低压配电柜、配电箱、控制柜及线路等重点部位监测。</w:t>
            </w:r>
          </w:p>
          <w:p w14:paraId="4FFB8819">
            <w:pPr>
              <w:pStyle w:val="15"/>
              <w:spacing w:before="78" w:line="191" w:lineRule="auto"/>
              <w:ind w:firstLine="236" w:firstLineChars="10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（3）公共使用的照明、指示灯具线路、开关、接地等保持完好，确保用电安全。</w:t>
            </w:r>
          </w:p>
          <w:p w14:paraId="17416B7B">
            <w:pPr>
              <w:pStyle w:val="15"/>
              <w:spacing w:before="79" w:line="191" w:lineRule="auto"/>
              <w:ind w:firstLine="236" w:firstLineChars="10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（4）核心部位用电建立高可控用电保障和配备应急发电设备，定期维护应急发电设备。</w:t>
            </w:r>
          </w:p>
          <w:p w14:paraId="674783A0">
            <w:pPr>
              <w:pStyle w:val="15"/>
              <w:spacing w:before="15" w:line="187" w:lineRule="auto"/>
              <w:ind w:left="82" w:leftChars="0" w:right="322" w:rightChars="0" w:firstLine="183" w:firstLine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（5）发生非计划性停电的，应当在事件发生后及时通知采购人，快速恢复或启用应急电</w:t>
            </w:r>
            <w:r>
              <w:rPr>
                <w:rFonts w:hint="eastAsia" w:ascii="宋体" w:hAnsi="宋体" w:eastAsia="宋体" w:cs="宋体"/>
                <w:color w:val="auto"/>
                <w:spacing w:val="-1"/>
                <w:sz w:val="24"/>
                <w:szCs w:val="24"/>
              </w:rPr>
              <w:t>源，并做好应急事件上报及处理工作。</w:t>
            </w:r>
          </w:p>
          <w:p w14:paraId="578D441F">
            <w:pPr>
              <w:pStyle w:val="15"/>
              <w:spacing w:before="79" w:line="190"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（6）复杂故障涉及供电部门维修处置的及时与供电部门联系，并向采购人报告。</w:t>
            </w:r>
          </w:p>
        </w:tc>
      </w:tr>
      <w:tr w14:paraId="77EA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jc w:val="center"/>
        </w:trPr>
        <w:tc>
          <w:tcPr>
            <w:tcW w:w="724" w:type="dxa"/>
            <w:vAlign w:val="top"/>
          </w:tcPr>
          <w:p w14:paraId="616146D5">
            <w:pPr>
              <w:spacing w:line="385" w:lineRule="auto"/>
              <w:jc w:val="center"/>
              <w:rPr>
                <w:rFonts w:hint="eastAsia" w:ascii="宋体" w:hAnsi="宋体" w:eastAsia="宋体" w:cs="宋体"/>
                <w:color w:val="auto"/>
                <w:sz w:val="24"/>
                <w:szCs w:val="24"/>
              </w:rPr>
            </w:pPr>
          </w:p>
          <w:p w14:paraId="3166AAE0">
            <w:pPr>
              <w:pStyle w:val="15"/>
              <w:spacing w:before="49" w:line="222" w:lineRule="auto"/>
              <w:ind w:left="78" w:left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rPr>
              <w:t>弱电系统</w:t>
            </w:r>
          </w:p>
        </w:tc>
        <w:tc>
          <w:tcPr>
            <w:tcW w:w="6621" w:type="dxa"/>
            <w:vAlign w:val="top"/>
          </w:tcPr>
          <w:p w14:paraId="6220C7C9">
            <w:pPr>
              <w:pStyle w:val="15"/>
              <w:spacing w:line="195" w:lineRule="auto"/>
              <w:ind w:left="84" w:leftChars="0" w:right="278" w:rightChars="0" w:firstLine="181" w:firstLineChars="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（1）安全防范系统维护保养符合《安全防范系统维护保养规范》（GA/T1081</w:t>
            </w:r>
            <w:r>
              <w:rPr>
                <w:rFonts w:hint="eastAsia" w:ascii="宋体" w:hAnsi="宋体" w:eastAsia="宋体" w:cs="宋体"/>
                <w:color w:val="auto"/>
                <w:spacing w:val="-3"/>
                <w:sz w:val="24"/>
                <w:szCs w:val="24"/>
              </w:rPr>
              <w:t>）的相关要</w:t>
            </w:r>
            <w:r>
              <w:rPr>
                <w:rFonts w:hint="eastAsia" w:ascii="宋体" w:hAnsi="宋体" w:eastAsia="宋体" w:cs="宋体"/>
                <w:color w:val="auto"/>
                <w:spacing w:val="-4"/>
                <w:sz w:val="24"/>
                <w:szCs w:val="24"/>
              </w:rPr>
              <w:t>求。</w:t>
            </w:r>
          </w:p>
          <w:p w14:paraId="1D6CE2B1">
            <w:pPr>
              <w:pStyle w:val="15"/>
              <w:spacing w:before="81"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（2）保持监控系统、门禁系统、安全防范系统等运行正常，有故障及时排</w:t>
            </w:r>
            <w:r>
              <w:rPr>
                <w:rFonts w:hint="eastAsia" w:ascii="宋体" w:hAnsi="宋体" w:eastAsia="宋体" w:cs="宋体"/>
                <w:color w:val="auto"/>
                <w:spacing w:val="-3"/>
                <w:sz w:val="24"/>
                <w:szCs w:val="24"/>
              </w:rPr>
              <w:t>除。</w:t>
            </w:r>
          </w:p>
        </w:tc>
      </w:tr>
    </w:tbl>
    <w:p w14:paraId="7DC4857B">
      <w:pPr>
        <w:pStyle w:val="12"/>
        <w:rPr>
          <w:rFonts w:hint="eastAsia"/>
          <w:lang w:val="en-US" w:eastAsia="zh-CN"/>
        </w:rPr>
      </w:pPr>
    </w:p>
    <w:p w14:paraId="6852209F">
      <w:pPr>
        <w:numPr>
          <w:ilvl w:val="0"/>
          <w:numId w:val="3"/>
        </w:numPr>
        <w:spacing w:line="360" w:lineRule="auto"/>
        <w:ind w:left="0" w:leftChars="0" w:firstLine="48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保洁服务</w:t>
      </w:r>
    </w:p>
    <w:tbl>
      <w:tblPr>
        <w:tblStyle w:val="9"/>
        <w:tblpPr w:leftFromText="180" w:rightFromText="180" w:vertAnchor="text" w:horzAnchor="page" w:tblpX="2440" w:tblpY="1906"/>
        <w:tblOverlap w:val="never"/>
        <w:tblW w:w="7362" w:type="dxa"/>
        <w:tblInd w:w="0" w:type="dxa"/>
        <w:tblLayout w:type="fixed"/>
        <w:tblCellMar>
          <w:top w:w="0" w:type="dxa"/>
          <w:left w:w="108" w:type="dxa"/>
          <w:bottom w:w="0" w:type="dxa"/>
          <w:right w:w="108" w:type="dxa"/>
        </w:tblCellMar>
      </w:tblPr>
      <w:tblGrid>
        <w:gridCol w:w="739"/>
        <w:gridCol w:w="6623"/>
      </w:tblGrid>
      <w:tr w14:paraId="45E8F2FD">
        <w:tblPrEx>
          <w:tblCellMar>
            <w:top w:w="0" w:type="dxa"/>
            <w:left w:w="108" w:type="dxa"/>
            <w:bottom w:w="0" w:type="dxa"/>
            <w:right w:w="108" w:type="dxa"/>
          </w:tblCellMar>
        </w:tblPrEx>
        <w:trPr>
          <w:trHeight w:val="2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9C598C">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w:t>
            </w:r>
          </w:p>
        </w:tc>
        <w:tc>
          <w:tcPr>
            <w:tcW w:w="6623" w:type="dxa"/>
            <w:tcBorders>
              <w:top w:val="single" w:color="auto" w:sz="4" w:space="0"/>
              <w:left w:val="nil"/>
              <w:bottom w:val="single" w:color="auto" w:sz="4" w:space="0"/>
              <w:right w:val="single" w:color="auto" w:sz="4" w:space="0"/>
            </w:tcBorders>
            <w:shd w:val="clear" w:color="auto" w:fill="auto"/>
            <w:noWrap w:val="0"/>
            <w:vAlign w:val="center"/>
          </w:tcPr>
          <w:p w14:paraId="58CB48D4">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pacing w:val="-2"/>
                <w:sz w:val="24"/>
                <w:szCs w:val="24"/>
              </w:rPr>
              <w:t>服务标准</w:t>
            </w:r>
          </w:p>
        </w:tc>
      </w:tr>
      <w:tr w14:paraId="22FB94C6">
        <w:tblPrEx>
          <w:tblCellMar>
            <w:top w:w="0" w:type="dxa"/>
            <w:left w:w="108" w:type="dxa"/>
            <w:bottom w:w="0" w:type="dxa"/>
            <w:right w:w="108" w:type="dxa"/>
          </w:tblCellMar>
        </w:tblPrEx>
        <w:trPr>
          <w:trHeight w:val="1406"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14:paraId="38A31B97">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公共区域卫生及垃圾清理</w:t>
            </w:r>
          </w:p>
        </w:tc>
        <w:tc>
          <w:tcPr>
            <w:tcW w:w="6623" w:type="dxa"/>
            <w:tcBorders>
              <w:top w:val="nil"/>
              <w:left w:val="nil"/>
              <w:bottom w:val="single" w:color="auto" w:sz="4" w:space="0"/>
              <w:right w:val="single" w:color="auto" w:sz="4" w:space="0"/>
            </w:tcBorders>
            <w:shd w:val="clear" w:color="auto" w:fill="auto"/>
            <w:noWrap w:val="0"/>
            <w:vAlign w:val="center"/>
          </w:tcPr>
          <w:p w14:paraId="3D65DAE4">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大厅、楼内公共通道：①公共通道保持干净，无异味、无杂物、无积水，每日至少开展1次清洁作业。②门窗玻璃干净无尘，透光性好，每周至少开展1次清洁作业。③指示牌干净，无污渍，每日至少开展1次清洁作业。</w:t>
            </w:r>
          </w:p>
          <w:p w14:paraId="06B2AFD6">
            <w:pPr>
              <w:pStyle w:val="15"/>
              <w:numPr>
                <w:ilvl w:val="0"/>
                <w:numId w:val="0"/>
              </w:numPr>
              <w:spacing w:before="74" w:line="191" w:lineRule="auto"/>
              <w:ind w:leftChars="0"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电器、消防等设施设备：①配电箱、设备机房、会议室音视频设备、消防栓及开关插座等保持表面干净，无尘无污迹，每月至少开展1次清洁作业。②监控摄像头、门禁系统等表面光亮，无尘、无斑点，每月至少开展1次清洁作业。</w:t>
            </w:r>
          </w:p>
          <w:p w14:paraId="4F929D31">
            <w:pPr>
              <w:pStyle w:val="15"/>
              <w:numPr>
                <w:ilvl w:val="0"/>
                <w:numId w:val="0"/>
              </w:numPr>
              <w:spacing w:before="74" w:line="191" w:lineRule="auto"/>
              <w:ind w:leftChars="0"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3</w:t>
            </w:r>
            <w:r>
              <w:rPr>
                <w:rFonts w:hint="eastAsia" w:cs="宋体"/>
                <w:color w:val="auto"/>
                <w:spacing w:val="-2"/>
                <w:sz w:val="24"/>
                <w:szCs w:val="24"/>
                <w:lang w:eastAsia="zh-CN"/>
              </w:rPr>
              <w:t>）</w:t>
            </w:r>
            <w:r>
              <w:rPr>
                <w:rFonts w:hint="eastAsia" w:ascii="宋体" w:hAnsi="宋体" w:eastAsia="宋体" w:cs="宋体"/>
                <w:color w:val="auto"/>
                <w:spacing w:val="-2"/>
                <w:sz w:val="24"/>
                <w:szCs w:val="24"/>
              </w:rPr>
              <w:t>楼梯及楼梯间保持干净、无异味、无杂物、无积水，每日至少开展1次清洁作业。</w:t>
            </w:r>
          </w:p>
          <w:p w14:paraId="025F2230">
            <w:pPr>
              <w:pStyle w:val="15"/>
              <w:numPr>
                <w:ilvl w:val="0"/>
                <w:numId w:val="0"/>
              </w:numPr>
              <w:spacing w:before="74" w:line="191" w:lineRule="auto"/>
              <w:ind w:leftChars="0"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4</w:t>
            </w:r>
            <w:r>
              <w:rPr>
                <w:rFonts w:hint="eastAsia" w:cs="宋体"/>
                <w:color w:val="auto"/>
                <w:spacing w:val="-2"/>
                <w:sz w:val="24"/>
                <w:szCs w:val="24"/>
                <w:lang w:eastAsia="zh-CN"/>
              </w:rPr>
              <w:t>）</w:t>
            </w:r>
            <w:r>
              <w:rPr>
                <w:rFonts w:hint="eastAsia" w:ascii="宋体" w:hAnsi="宋体" w:eastAsia="宋体" w:cs="宋体"/>
                <w:color w:val="auto"/>
                <w:spacing w:val="-2"/>
                <w:sz w:val="24"/>
                <w:szCs w:val="24"/>
              </w:rPr>
              <w:t>开水间保持干净、无异味、无杂物、无积水，每日至少开展1次清洁作业。</w:t>
            </w:r>
          </w:p>
          <w:p w14:paraId="3F8B404D">
            <w:pPr>
              <w:pStyle w:val="15"/>
              <w:numPr>
                <w:ilvl w:val="0"/>
                <w:numId w:val="0"/>
              </w:numPr>
              <w:spacing w:before="74" w:line="191" w:lineRule="auto"/>
              <w:ind w:leftChars="0"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5</w:t>
            </w:r>
            <w:r>
              <w:rPr>
                <w:rFonts w:hint="eastAsia" w:cs="宋体"/>
                <w:color w:val="auto"/>
                <w:spacing w:val="-2"/>
                <w:sz w:val="24"/>
                <w:szCs w:val="24"/>
                <w:lang w:eastAsia="zh-CN"/>
              </w:rPr>
              <w:t>）</w:t>
            </w:r>
            <w:r>
              <w:rPr>
                <w:rFonts w:hint="eastAsia" w:ascii="宋体" w:hAnsi="宋体" w:eastAsia="宋体" w:cs="宋体"/>
                <w:color w:val="auto"/>
                <w:spacing w:val="-2"/>
                <w:sz w:val="24"/>
                <w:szCs w:val="24"/>
              </w:rPr>
              <w:t>作业工具间：①保持干净，无异味、无杂物、无积水，每日至少开展1次清洁作业。②作业工具摆放整齐有序，表面干净无渍，每日消毒。</w:t>
            </w:r>
          </w:p>
          <w:p w14:paraId="7DE2AF93">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val="en-US" w:eastAsia="zh-CN" w:bidi="ar-SA"/>
              </w:rPr>
              <w:t>（6）</w:t>
            </w:r>
            <w:r>
              <w:rPr>
                <w:rFonts w:hint="eastAsia" w:ascii="宋体" w:hAnsi="宋体" w:eastAsia="宋体" w:cs="宋体"/>
                <w:color w:val="auto"/>
                <w:spacing w:val="-2"/>
                <w:sz w:val="24"/>
                <w:szCs w:val="24"/>
              </w:rPr>
              <w:t>公共卫生间：①保持干净，无异味，垃圾无溢出，每日至少开展1次清洁作业。②及时补充厕纸等必要用品。</w:t>
            </w:r>
          </w:p>
          <w:p w14:paraId="68A94D6B">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7</w:t>
            </w:r>
            <w:r>
              <w:rPr>
                <w:rFonts w:hint="eastAsia" w:cs="宋体"/>
                <w:color w:val="auto"/>
                <w:spacing w:val="-2"/>
                <w:sz w:val="24"/>
                <w:szCs w:val="24"/>
                <w:lang w:eastAsia="zh-CN"/>
              </w:rPr>
              <w:t>）</w:t>
            </w:r>
            <w:r>
              <w:rPr>
                <w:rFonts w:hint="eastAsia" w:ascii="宋体" w:hAnsi="宋体" w:eastAsia="宋体" w:cs="宋体"/>
                <w:color w:val="auto"/>
                <w:spacing w:val="-2"/>
                <w:sz w:val="24"/>
                <w:szCs w:val="24"/>
              </w:rPr>
              <w:t>电梯轿厢：①保持干净，无污渍、无粘贴物、无异味，每日至少开展1次清洁作业。②灯具、操作指示板明亮。</w:t>
            </w:r>
          </w:p>
          <w:p w14:paraId="735A378F">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8</w:t>
            </w:r>
            <w:r>
              <w:rPr>
                <w:rFonts w:hint="eastAsia" w:cs="宋体"/>
                <w:color w:val="auto"/>
                <w:spacing w:val="-2"/>
                <w:sz w:val="24"/>
                <w:szCs w:val="24"/>
                <w:lang w:eastAsia="zh-CN"/>
              </w:rPr>
              <w:t>）</w:t>
            </w:r>
            <w:r>
              <w:rPr>
                <w:rFonts w:hint="eastAsia" w:ascii="宋体" w:hAnsi="宋体" w:eastAsia="宋体" w:cs="宋体"/>
                <w:color w:val="auto"/>
                <w:spacing w:val="-2"/>
                <w:sz w:val="24"/>
                <w:szCs w:val="24"/>
              </w:rPr>
              <w:t>平台、屋顶、天沟保持干净，有杂物及时清扫，每月至少开展1次清洁作业。</w:t>
            </w:r>
          </w:p>
          <w:p w14:paraId="01CABBB7">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val="en-US" w:eastAsia="zh-CN" w:bidi="ar-SA"/>
              </w:rPr>
              <w:t>（9）</w:t>
            </w:r>
            <w:r>
              <w:rPr>
                <w:rFonts w:hint="eastAsia" w:ascii="宋体" w:hAnsi="宋体" w:eastAsia="宋体" w:cs="宋体"/>
                <w:color w:val="auto"/>
                <w:spacing w:val="-2"/>
                <w:sz w:val="24"/>
                <w:szCs w:val="24"/>
              </w:rPr>
              <w:t>办公区外立面定期清洗、2米以上外窗玻璃擦拭，每年至少开展1次清洗。</w:t>
            </w:r>
          </w:p>
          <w:p w14:paraId="68CFDD24">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val="en-US" w:eastAsia="zh-CN" w:bidi="ar-SA"/>
              </w:rPr>
              <w:t>（10）</w:t>
            </w:r>
            <w:r>
              <w:rPr>
                <w:rFonts w:hint="eastAsia" w:ascii="宋体" w:hAnsi="宋体" w:eastAsia="宋体" w:cs="宋体"/>
                <w:color w:val="auto"/>
                <w:spacing w:val="-2"/>
                <w:sz w:val="24"/>
                <w:szCs w:val="24"/>
              </w:rPr>
              <w:t>地毯干净、无油渍、无污渍、无褪色，每月至少开展1次清洁作业。</w:t>
            </w:r>
          </w:p>
          <w:p w14:paraId="23C6078E">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11</w:t>
            </w:r>
            <w:r>
              <w:rPr>
                <w:rFonts w:hint="eastAsia" w:cs="宋体"/>
                <w:color w:val="auto"/>
                <w:spacing w:val="-2"/>
                <w:sz w:val="24"/>
                <w:szCs w:val="24"/>
                <w:lang w:eastAsia="zh-CN"/>
              </w:rPr>
              <w:t>）</w:t>
            </w:r>
            <w:r>
              <w:rPr>
                <w:rFonts w:hint="eastAsia" w:ascii="宋体" w:hAnsi="宋体" w:eastAsia="宋体" w:cs="宋体"/>
                <w:color w:val="auto"/>
                <w:spacing w:val="-2"/>
                <w:sz w:val="24"/>
                <w:szCs w:val="24"/>
              </w:rPr>
              <w:t>每日清扫道路地面、停车场等公共区域2次，保持干净、无杂物、无积水。</w:t>
            </w:r>
          </w:p>
          <w:p w14:paraId="06A88485">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2）雪、冰冻等恶劣天气时及时清扫积水、积雪，并采取安全防护措施。</w:t>
            </w:r>
          </w:p>
          <w:p w14:paraId="7DCCB15D">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3）各种路标、宣传栏等保持干净，每月至少开展1次清洁作业。</w:t>
            </w:r>
          </w:p>
          <w:p w14:paraId="6276F6A7">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4）清洁室外照明设备，每月至少开展1次清洁作业。</w:t>
            </w:r>
          </w:p>
          <w:p w14:paraId="507ED5C1">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5）绿地内无杂物、无改变用途和破坏、践踏、占用现象，每天至少开展1次巡查。</w:t>
            </w:r>
          </w:p>
          <w:p w14:paraId="7E985D67">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6）办公区外立面定期清洗、2米以上外窗玻璃擦拭，每年至少开展1次清洗。</w:t>
            </w:r>
          </w:p>
          <w:p w14:paraId="024F3F90">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cs="宋体"/>
                <w:color w:val="auto"/>
                <w:spacing w:val="-2"/>
                <w:sz w:val="24"/>
                <w:szCs w:val="24"/>
                <w:lang w:val="en-US" w:eastAsia="zh-CN"/>
              </w:rPr>
              <w:t>7</w:t>
            </w:r>
            <w:r>
              <w:rPr>
                <w:rFonts w:hint="eastAsia" w:ascii="宋体" w:hAnsi="宋体" w:eastAsia="宋体" w:cs="宋体"/>
                <w:color w:val="auto"/>
                <w:spacing w:val="-2"/>
                <w:sz w:val="24"/>
                <w:szCs w:val="24"/>
              </w:rPr>
              <w:t>）在指定位置摆放分类垃圾桶，并在显著处张贴垃圾分类标识。分类垃圾桶和垃圾分类标识根据所在城市的要求设置。</w:t>
            </w:r>
          </w:p>
          <w:p w14:paraId="58D9A6EA">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18</w:t>
            </w:r>
            <w:r>
              <w:rPr>
                <w:rFonts w:hint="eastAsia" w:ascii="宋体" w:hAnsi="宋体" w:eastAsia="宋体" w:cs="宋体"/>
                <w:color w:val="auto"/>
                <w:spacing w:val="-2"/>
                <w:sz w:val="24"/>
                <w:szCs w:val="24"/>
              </w:rPr>
              <w:t>）桶身表面干净无污渍，每日开展至少1次清洁作业。</w:t>
            </w:r>
          </w:p>
          <w:p w14:paraId="5812A577">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19</w:t>
            </w:r>
            <w:r>
              <w:rPr>
                <w:rFonts w:hint="eastAsia" w:ascii="宋体" w:hAnsi="宋体" w:eastAsia="宋体" w:cs="宋体"/>
                <w:color w:val="auto"/>
                <w:spacing w:val="-2"/>
                <w:sz w:val="24"/>
                <w:szCs w:val="24"/>
              </w:rPr>
              <w:t>）垃圾中转房保持整洁，无明显异味，每日至少开展1次清洁作业。</w:t>
            </w:r>
          </w:p>
          <w:p w14:paraId="3EDCF70D">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20</w:t>
            </w:r>
            <w:r>
              <w:rPr>
                <w:rFonts w:hint="eastAsia" w:ascii="宋体" w:hAnsi="宋体" w:eastAsia="宋体" w:cs="宋体"/>
                <w:color w:val="auto"/>
                <w:spacing w:val="-2"/>
                <w:sz w:val="24"/>
                <w:szCs w:val="24"/>
              </w:rPr>
              <w:t>）化粪池清掏，无明显异味，每半年至少开展1次清洁作业。</w:t>
            </w:r>
          </w:p>
          <w:p w14:paraId="45BE45C0">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21</w:t>
            </w:r>
            <w:r>
              <w:rPr>
                <w:rFonts w:hint="eastAsia" w:ascii="宋体" w:hAnsi="宋体" w:eastAsia="宋体" w:cs="宋体"/>
                <w:color w:val="auto"/>
                <w:spacing w:val="-2"/>
                <w:sz w:val="24"/>
                <w:szCs w:val="24"/>
              </w:rPr>
              <w:t>）每个工作日内要对楼层产生的垃圾，进行清理分类，并运至垃圾集中堆放点。</w:t>
            </w:r>
          </w:p>
          <w:p w14:paraId="0C936E08">
            <w:pPr>
              <w:pStyle w:val="15"/>
              <w:numPr>
                <w:ilvl w:val="0"/>
                <w:numId w:val="0"/>
              </w:numPr>
              <w:spacing w:before="74" w:line="191" w:lineRule="auto"/>
              <w:ind w:left="425" w:leftChars="88" w:hanging="240" w:hangingChars="10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22</w:t>
            </w:r>
            <w:r>
              <w:rPr>
                <w:rFonts w:hint="eastAsia" w:ascii="宋体" w:hAnsi="宋体" w:eastAsia="宋体" w:cs="宋体"/>
                <w:color w:val="auto"/>
                <w:spacing w:val="-2"/>
                <w:sz w:val="24"/>
                <w:szCs w:val="24"/>
              </w:rPr>
              <w:t>）垃圾装袋，日产日清。</w:t>
            </w:r>
          </w:p>
          <w:p w14:paraId="0E002C9D">
            <w:pPr>
              <w:pStyle w:val="15"/>
              <w:numPr>
                <w:ilvl w:val="0"/>
                <w:numId w:val="0"/>
              </w:numPr>
              <w:spacing w:before="74" w:line="191" w:lineRule="auto"/>
              <w:ind w:left="425" w:leftChars="88" w:hanging="240" w:hangingChars="10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3</w:t>
            </w:r>
            <w:r>
              <w:rPr>
                <w:rFonts w:hint="eastAsia" w:ascii="宋体" w:hAnsi="宋体" w:eastAsia="宋体" w:cs="宋体"/>
                <w:color w:val="auto"/>
                <w:spacing w:val="-2"/>
                <w:sz w:val="24"/>
                <w:szCs w:val="24"/>
              </w:rPr>
              <w:t>）建立垃圾清运台账，交由规范的渠道回收处理。</w:t>
            </w:r>
          </w:p>
          <w:p w14:paraId="3C99F9C3">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4</w:t>
            </w:r>
            <w:r>
              <w:rPr>
                <w:rFonts w:hint="eastAsia" w:ascii="宋体" w:hAnsi="宋体" w:eastAsia="宋体" w:cs="宋体"/>
                <w:color w:val="auto"/>
                <w:spacing w:val="-2"/>
                <w:sz w:val="24"/>
                <w:szCs w:val="24"/>
              </w:rPr>
              <w:t>）做好垃圾分类管理的宣传工作，督促并引导全员参与垃圾分类投放。</w:t>
            </w:r>
          </w:p>
          <w:p w14:paraId="076E65B5">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5</w:t>
            </w:r>
            <w:r>
              <w:rPr>
                <w:rFonts w:hint="eastAsia" w:ascii="宋体" w:hAnsi="宋体" w:eastAsia="宋体" w:cs="宋体"/>
                <w:color w:val="auto"/>
                <w:spacing w:val="-2"/>
                <w:sz w:val="24"/>
                <w:szCs w:val="24"/>
              </w:rPr>
              <w:t>）垃圾分类投放管理工作的执行标准，按所在城市的要求执行。</w:t>
            </w:r>
          </w:p>
          <w:p w14:paraId="71153777">
            <w:pPr>
              <w:pStyle w:val="15"/>
              <w:numPr>
                <w:ilvl w:val="0"/>
                <w:numId w:val="0"/>
              </w:numPr>
              <w:spacing w:before="74" w:line="191" w:lineRule="auto"/>
              <w:ind w:left="425" w:leftChars="88" w:hanging="240" w:hangingChars="10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6</w:t>
            </w:r>
            <w:r>
              <w:rPr>
                <w:rFonts w:hint="eastAsia" w:ascii="宋体" w:hAnsi="宋体" w:eastAsia="宋体" w:cs="宋体"/>
                <w:color w:val="auto"/>
                <w:spacing w:val="-2"/>
                <w:sz w:val="24"/>
                <w:szCs w:val="24"/>
              </w:rPr>
              <w:t>）办公用房区域、公共场所区域和周围环境预防性卫生消毒，消毒后及时通风，每周至少开展1次作业。</w:t>
            </w:r>
          </w:p>
          <w:p w14:paraId="42F6205C">
            <w:pPr>
              <w:pStyle w:val="15"/>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7</w:t>
            </w:r>
            <w:r>
              <w:rPr>
                <w:rFonts w:hint="eastAsia" w:ascii="宋体" w:hAnsi="宋体" w:eastAsia="宋体" w:cs="宋体"/>
                <w:color w:val="auto"/>
                <w:spacing w:val="-2"/>
                <w:sz w:val="24"/>
                <w:szCs w:val="24"/>
              </w:rPr>
              <w:t>）采取综合措施消灭老鼠、蟑螂，控制室内外蚊虫孳生，达到基本无蝇，每季度至少开展1次作业。</w:t>
            </w:r>
          </w:p>
          <w:p w14:paraId="17FC684E">
            <w:pPr>
              <w:pStyle w:val="15"/>
              <w:numPr>
                <w:ilvl w:val="0"/>
                <w:numId w:val="0"/>
              </w:numPr>
              <w:spacing w:before="74" w:line="191" w:lineRule="auto"/>
              <w:ind w:firstLine="236"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）发生公共卫生事件时，邀请专业单位开展消毒、检测等工作。</w:t>
            </w:r>
          </w:p>
        </w:tc>
      </w:tr>
    </w:tbl>
    <w:p w14:paraId="1A50CDF8">
      <w:pPr>
        <w:numPr>
          <w:ilvl w:val="0"/>
          <w:numId w:val="3"/>
        </w:numPr>
        <w:spacing w:line="360" w:lineRule="auto"/>
        <w:ind w:left="0" w:leftChars="0" w:firstLine="48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绿化服务</w:t>
      </w:r>
    </w:p>
    <w:tbl>
      <w:tblPr>
        <w:tblStyle w:val="16"/>
        <w:tblpPr w:leftFromText="180" w:rightFromText="180" w:vertAnchor="text" w:horzAnchor="page" w:tblpXSpec="center" w:tblpY="458"/>
        <w:tblOverlap w:val="never"/>
        <w:tblW w:w="7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621"/>
      </w:tblGrid>
      <w:tr w14:paraId="4AED6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4" w:type="dxa"/>
            <w:vAlign w:val="top"/>
          </w:tcPr>
          <w:p w14:paraId="7116A67D">
            <w:pPr>
              <w:pStyle w:val="15"/>
              <w:spacing w:before="75" w:line="222" w:lineRule="auto"/>
              <w:jc w:val="center"/>
              <w:rPr>
                <w:rFonts w:hint="eastAsia"/>
                <w:color w:val="auto"/>
                <w:spacing w:val="-3"/>
                <w:sz w:val="24"/>
                <w:szCs w:val="24"/>
                <w:lang w:val="en-US" w:eastAsia="zh-CN"/>
              </w:rPr>
            </w:pPr>
            <w:r>
              <w:rPr>
                <w:rFonts w:hint="eastAsia"/>
                <w:color w:val="auto"/>
                <w:spacing w:val="-3"/>
                <w:sz w:val="24"/>
                <w:szCs w:val="24"/>
                <w:lang w:val="en-US" w:eastAsia="zh-CN"/>
              </w:rPr>
              <w:t>服务</w:t>
            </w:r>
          </w:p>
          <w:p w14:paraId="062BB350">
            <w:pPr>
              <w:pStyle w:val="15"/>
              <w:spacing w:before="75" w:line="222" w:lineRule="auto"/>
              <w:jc w:val="center"/>
              <w:rPr>
                <w:rFonts w:hint="default" w:eastAsia="宋体"/>
                <w:color w:val="auto"/>
                <w:sz w:val="24"/>
                <w:szCs w:val="24"/>
                <w:lang w:val="en-US" w:eastAsia="zh-CN"/>
              </w:rPr>
            </w:pPr>
            <w:r>
              <w:rPr>
                <w:rFonts w:hint="eastAsia"/>
                <w:color w:val="auto"/>
                <w:spacing w:val="-3"/>
                <w:sz w:val="24"/>
                <w:szCs w:val="24"/>
                <w:lang w:val="en-US" w:eastAsia="zh-CN"/>
              </w:rPr>
              <w:t>内容</w:t>
            </w:r>
          </w:p>
        </w:tc>
        <w:tc>
          <w:tcPr>
            <w:tcW w:w="6621" w:type="dxa"/>
            <w:vAlign w:val="top"/>
          </w:tcPr>
          <w:p w14:paraId="416262CF">
            <w:pPr>
              <w:pStyle w:val="15"/>
              <w:spacing w:before="75" w:line="221" w:lineRule="auto"/>
              <w:jc w:val="center"/>
              <w:rPr>
                <w:color w:val="auto"/>
                <w:sz w:val="24"/>
                <w:szCs w:val="24"/>
              </w:rPr>
            </w:pPr>
            <w:r>
              <w:rPr>
                <w:color w:val="auto"/>
                <w:spacing w:val="-2"/>
                <w:sz w:val="24"/>
                <w:szCs w:val="24"/>
              </w:rPr>
              <w:t>服务标准</w:t>
            </w:r>
          </w:p>
        </w:tc>
      </w:tr>
      <w:tr w14:paraId="206AE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65B76286">
            <w:pPr>
              <w:spacing w:line="250" w:lineRule="auto"/>
              <w:jc w:val="center"/>
              <w:rPr>
                <w:rFonts w:ascii="Arial"/>
                <w:color w:val="auto"/>
                <w:sz w:val="24"/>
                <w:szCs w:val="24"/>
              </w:rPr>
            </w:pPr>
          </w:p>
          <w:p w14:paraId="0447CD2C">
            <w:pPr>
              <w:spacing w:line="292" w:lineRule="auto"/>
              <w:jc w:val="center"/>
              <w:rPr>
                <w:rFonts w:ascii="Arial"/>
                <w:color w:val="auto"/>
                <w:sz w:val="24"/>
                <w:szCs w:val="24"/>
              </w:rPr>
            </w:pPr>
          </w:p>
          <w:p w14:paraId="7F8315C6">
            <w:pPr>
              <w:spacing w:line="292" w:lineRule="auto"/>
              <w:jc w:val="center"/>
              <w:rPr>
                <w:rFonts w:ascii="Arial"/>
                <w:color w:val="auto"/>
                <w:sz w:val="24"/>
                <w:szCs w:val="24"/>
              </w:rPr>
            </w:pPr>
          </w:p>
          <w:p w14:paraId="7E609088">
            <w:pPr>
              <w:spacing w:line="297" w:lineRule="auto"/>
              <w:jc w:val="center"/>
              <w:rPr>
                <w:rFonts w:ascii="Arial"/>
                <w:color w:val="auto"/>
                <w:sz w:val="24"/>
                <w:szCs w:val="24"/>
              </w:rPr>
            </w:pPr>
            <w:r>
              <w:rPr>
                <w:rFonts w:hint="eastAsia" w:ascii="Arial"/>
                <w:color w:val="auto"/>
                <w:sz w:val="24"/>
                <w:szCs w:val="24"/>
                <w:lang w:val="en-US" w:eastAsia="zh-CN"/>
              </w:rPr>
              <w:t>室外绿化养护</w:t>
            </w:r>
          </w:p>
          <w:p w14:paraId="0EF29DA0">
            <w:pPr>
              <w:spacing w:line="297" w:lineRule="auto"/>
              <w:jc w:val="center"/>
              <w:rPr>
                <w:rFonts w:ascii="Arial"/>
                <w:color w:val="auto"/>
                <w:sz w:val="24"/>
                <w:szCs w:val="24"/>
              </w:rPr>
            </w:pPr>
          </w:p>
          <w:p w14:paraId="49B16238">
            <w:pPr>
              <w:spacing w:line="298" w:lineRule="auto"/>
              <w:jc w:val="center"/>
              <w:rPr>
                <w:rFonts w:ascii="Arial"/>
                <w:color w:val="auto"/>
                <w:sz w:val="24"/>
                <w:szCs w:val="24"/>
              </w:rPr>
            </w:pPr>
          </w:p>
          <w:p w14:paraId="4DAB5717">
            <w:pPr>
              <w:spacing w:before="46" w:line="181" w:lineRule="auto"/>
              <w:ind w:left="445"/>
              <w:jc w:val="center"/>
              <w:rPr>
                <w:rFonts w:ascii="Calibri" w:hAnsi="Calibri" w:eastAsia="Calibri" w:cs="Calibri"/>
                <w:color w:val="auto"/>
                <w:sz w:val="24"/>
                <w:szCs w:val="24"/>
              </w:rPr>
            </w:pPr>
          </w:p>
        </w:tc>
        <w:tc>
          <w:tcPr>
            <w:tcW w:w="6621" w:type="dxa"/>
            <w:vAlign w:val="top"/>
          </w:tcPr>
          <w:p w14:paraId="64C3B483">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（1）制定绿化服务的工作制度及工作计划，并按照执行。</w:t>
            </w:r>
          </w:p>
          <w:p w14:paraId="3CB9E0FF">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（2）做好绿化服务工作记录，填写规范。</w:t>
            </w:r>
          </w:p>
          <w:p w14:paraId="320025A5">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（3）作业时采取安全防护措施，防止对作业人员或他人造成伤害。</w:t>
            </w:r>
          </w:p>
          <w:p w14:paraId="108D1073">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（4）相关耗材的环保、安全性应当符合规定要求。</w:t>
            </w:r>
          </w:p>
          <w:p w14:paraId="3C3EABEB">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5</w:t>
            </w:r>
            <w:r>
              <w:rPr>
                <w:rFonts w:hint="eastAsia" w:ascii="宋体" w:hAnsi="宋体" w:eastAsia="宋体" w:cs="宋体"/>
                <w:color w:val="auto"/>
                <w:spacing w:val="-2"/>
                <w:sz w:val="24"/>
                <w:szCs w:val="24"/>
              </w:rPr>
              <w:t>）根据生长环境、植物特性进行除草、灌溉、施肥、整形修剪、防治病虫害等。</w:t>
            </w:r>
          </w:p>
          <w:p w14:paraId="6FC1EDF9">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6</w:t>
            </w:r>
            <w:r>
              <w:rPr>
                <w:rFonts w:hint="eastAsia" w:ascii="宋体" w:hAnsi="宋体" w:eastAsia="宋体" w:cs="宋体"/>
                <w:color w:val="auto"/>
                <w:spacing w:val="-2"/>
                <w:sz w:val="24"/>
                <w:szCs w:val="24"/>
              </w:rPr>
              <w:t>）根据生长情况修剪绿地，绿地内无枯草、无杂物，无干枯坏死和病虫侵害，基本无裸露土地。</w:t>
            </w:r>
          </w:p>
          <w:p w14:paraId="7DC83207">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7</w:t>
            </w:r>
            <w:r>
              <w:rPr>
                <w:rFonts w:hint="eastAsia" w:ascii="宋体" w:hAnsi="宋体" w:eastAsia="宋体" w:cs="宋体"/>
                <w:color w:val="auto"/>
                <w:spacing w:val="-2"/>
                <w:sz w:val="24"/>
                <w:szCs w:val="24"/>
              </w:rPr>
              <w:t>）定期修剪树木、花卉等，灌乔木生长正常、造型美观自然、花枝新鲜，无枯叶、无病虫、无死树缺株。</w:t>
            </w:r>
          </w:p>
          <w:p w14:paraId="588A8A5C">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）绿篱生长造型正常，颜色正常，修剪及时，基本无死株和干死株，有虫株率在10%以下。</w:t>
            </w:r>
          </w:p>
          <w:p w14:paraId="78ADEEEB">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9</w:t>
            </w:r>
            <w:r>
              <w:rPr>
                <w:rFonts w:hint="eastAsia" w:ascii="宋体" w:hAnsi="宋体" w:eastAsia="宋体" w:cs="宋体"/>
                <w:color w:val="auto"/>
                <w:spacing w:val="-2"/>
                <w:sz w:val="24"/>
                <w:szCs w:val="24"/>
              </w:rPr>
              <w:t>）清除花坛和花景的花蒂、黄叶、杂草、垃圾，做好病虫害防治。</w:t>
            </w:r>
          </w:p>
          <w:p w14:paraId="4B2D400B">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10</w:t>
            </w:r>
            <w:r>
              <w:rPr>
                <w:rFonts w:hint="eastAsia" w:ascii="宋体" w:hAnsi="宋体" w:eastAsia="宋体" w:cs="宋体"/>
                <w:color w:val="auto"/>
                <w:spacing w:val="-2"/>
                <w:sz w:val="24"/>
                <w:szCs w:val="24"/>
              </w:rPr>
              <w:t>）水池水面定期清理，无枯枝落叶、水质清洁。</w:t>
            </w:r>
          </w:p>
          <w:p w14:paraId="5E8C76CB">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11</w:t>
            </w:r>
            <w:r>
              <w:rPr>
                <w:rFonts w:hint="eastAsia" w:ascii="宋体" w:hAnsi="宋体" w:eastAsia="宋体" w:cs="宋体"/>
                <w:color w:val="auto"/>
                <w:spacing w:val="-2"/>
                <w:sz w:val="24"/>
                <w:szCs w:val="24"/>
              </w:rPr>
              <w:t>）根据病虫害发生规律实施综合治理，通常在病虫率高时，以药剂杀死病虫，以确保植物良好生长。产生垃圾的主要区域和路段做到日产日清。</w:t>
            </w:r>
          </w:p>
          <w:p w14:paraId="671FB37D">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12</w:t>
            </w:r>
            <w:r>
              <w:rPr>
                <w:rFonts w:hint="eastAsia" w:ascii="宋体" w:hAnsi="宋体" w:eastAsia="宋体" w:cs="宋体"/>
                <w:color w:val="auto"/>
                <w:spacing w:val="-2"/>
                <w:sz w:val="24"/>
                <w:szCs w:val="24"/>
              </w:rPr>
              <w:t>）雨雪、冰冻等恶劣天气来临前，专人巡查，对绿植做好预防措施，排除安全隐患。</w:t>
            </w:r>
          </w:p>
          <w:p w14:paraId="07592CA1">
            <w:pPr>
              <w:pStyle w:val="15"/>
              <w:spacing w:line="195" w:lineRule="auto"/>
              <w:ind w:left="84" w:right="189" w:firstLine="183"/>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13</w:t>
            </w:r>
            <w:r>
              <w:rPr>
                <w:rFonts w:hint="eastAsia" w:ascii="宋体" w:hAnsi="宋体" w:eastAsia="宋体" w:cs="宋体"/>
                <w:color w:val="auto"/>
                <w:spacing w:val="-2"/>
                <w:sz w:val="24"/>
                <w:szCs w:val="24"/>
              </w:rPr>
              <w:t>）恶劣天气后，及时清除倒树断枝，疏通道路，尽快恢复原状。</w:t>
            </w:r>
          </w:p>
        </w:tc>
      </w:tr>
    </w:tbl>
    <w:p w14:paraId="2F21996E">
      <w:pPr>
        <w:numPr>
          <w:ilvl w:val="0"/>
          <w:numId w:val="3"/>
        </w:numPr>
        <w:spacing w:line="360" w:lineRule="auto"/>
        <w:ind w:left="0" w:leftChars="0" w:firstLine="48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秩序维护</w:t>
      </w:r>
    </w:p>
    <w:tbl>
      <w:tblPr>
        <w:tblStyle w:val="16"/>
        <w:tblpPr w:leftFromText="180" w:rightFromText="180" w:vertAnchor="text" w:horzAnchor="page" w:tblpXSpec="center" w:tblpY="458"/>
        <w:tblOverlap w:val="never"/>
        <w:tblW w:w="7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621"/>
      </w:tblGrid>
      <w:tr w14:paraId="3C432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4" w:type="dxa"/>
            <w:vAlign w:val="top"/>
          </w:tcPr>
          <w:p w14:paraId="06993A47">
            <w:pPr>
              <w:pStyle w:val="15"/>
              <w:spacing w:before="75" w:line="222" w:lineRule="auto"/>
              <w:jc w:val="center"/>
              <w:rPr>
                <w:rFonts w:hint="eastAsia"/>
                <w:color w:val="auto"/>
                <w:spacing w:val="-3"/>
                <w:sz w:val="24"/>
                <w:szCs w:val="24"/>
                <w:lang w:val="en-US" w:eastAsia="zh-CN"/>
              </w:rPr>
            </w:pPr>
            <w:r>
              <w:rPr>
                <w:rFonts w:hint="eastAsia"/>
                <w:color w:val="auto"/>
                <w:spacing w:val="-3"/>
                <w:sz w:val="24"/>
                <w:szCs w:val="24"/>
                <w:lang w:val="en-US" w:eastAsia="zh-CN"/>
              </w:rPr>
              <w:t>服务</w:t>
            </w:r>
          </w:p>
          <w:p w14:paraId="668C2B72">
            <w:pPr>
              <w:pStyle w:val="15"/>
              <w:spacing w:before="75" w:line="222" w:lineRule="auto"/>
              <w:jc w:val="center"/>
              <w:rPr>
                <w:rFonts w:hint="default" w:eastAsia="宋体"/>
                <w:color w:val="auto"/>
                <w:sz w:val="24"/>
                <w:szCs w:val="24"/>
                <w:lang w:val="en-US" w:eastAsia="zh-CN"/>
              </w:rPr>
            </w:pPr>
            <w:r>
              <w:rPr>
                <w:rFonts w:hint="eastAsia"/>
                <w:color w:val="auto"/>
                <w:spacing w:val="-3"/>
                <w:sz w:val="24"/>
                <w:szCs w:val="24"/>
                <w:lang w:val="en-US" w:eastAsia="zh-CN"/>
              </w:rPr>
              <w:t>内容</w:t>
            </w:r>
          </w:p>
        </w:tc>
        <w:tc>
          <w:tcPr>
            <w:tcW w:w="6621" w:type="dxa"/>
            <w:vAlign w:val="top"/>
          </w:tcPr>
          <w:p w14:paraId="091F97E6">
            <w:pPr>
              <w:pStyle w:val="15"/>
              <w:spacing w:before="75" w:line="221" w:lineRule="auto"/>
              <w:jc w:val="center"/>
              <w:rPr>
                <w:color w:val="auto"/>
                <w:sz w:val="24"/>
                <w:szCs w:val="24"/>
              </w:rPr>
            </w:pPr>
            <w:r>
              <w:rPr>
                <w:color w:val="auto"/>
                <w:spacing w:val="-2"/>
                <w:sz w:val="24"/>
                <w:szCs w:val="24"/>
              </w:rPr>
              <w:t>服务标准</w:t>
            </w:r>
          </w:p>
        </w:tc>
      </w:tr>
      <w:tr w14:paraId="684BD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588EC5AE">
            <w:pPr>
              <w:spacing w:line="250" w:lineRule="auto"/>
              <w:jc w:val="center"/>
              <w:rPr>
                <w:rFonts w:ascii="Arial"/>
                <w:color w:val="auto"/>
                <w:sz w:val="24"/>
                <w:szCs w:val="24"/>
              </w:rPr>
            </w:pPr>
          </w:p>
          <w:p w14:paraId="2A93C6E0">
            <w:pPr>
              <w:spacing w:line="292" w:lineRule="auto"/>
              <w:jc w:val="center"/>
              <w:rPr>
                <w:rFonts w:ascii="Arial"/>
                <w:color w:val="auto"/>
                <w:sz w:val="24"/>
                <w:szCs w:val="24"/>
              </w:rPr>
            </w:pPr>
          </w:p>
          <w:p w14:paraId="17C51D4C">
            <w:pPr>
              <w:spacing w:line="292" w:lineRule="auto"/>
              <w:jc w:val="center"/>
              <w:rPr>
                <w:rFonts w:ascii="Arial"/>
                <w:color w:val="auto"/>
                <w:sz w:val="24"/>
                <w:szCs w:val="24"/>
              </w:rPr>
            </w:pPr>
          </w:p>
          <w:p w14:paraId="5F9F9617">
            <w:pPr>
              <w:spacing w:line="297" w:lineRule="auto"/>
              <w:jc w:val="center"/>
              <w:rPr>
                <w:rFonts w:hint="default" w:ascii="Arial"/>
                <w:color w:val="auto"/>
                <w:sz w:val="24"/>
                <w:szCs w:val="24"/>
                <w:lang w:val="en-US"/>
              </w:rPr>
            </w:pPr>
            <w:r>
              <w:rPr>
                <w:rFonts w:hint="eastAsia" w:ascii="Arial"/>
                <w:color w:val="auto"/>
                <w:sz w:val="24"/>
                <w:szCs w:val="24"/>
                <w:lang w:val="en-US" w:eastAsia="zh-CN"/>
              </w:rPr>
              <w:t>出入管理</w:t>
            </w:r>
          </w:p>
          <w:p w14:paraId="3E7BEA20">
            <w:pPr>
              <w:spacing w:line="297" w:lineRule="auto"/>
              <w:jc w:val="center"/>
              <w:rPr>
                <w:rFonts w:ascii="Arial"/>
                <w:color w:val="auto"/>
                <w:sz w:val="24"/>
                <w:szCs w:val="24"/>
              </w:rPr>
            </w:pPr>
          </w:p>
          <w:p w14:paraId="303F8F42">
            <w:pPr>
              <w:spacing w:line="298" w:lineRule="auto"/>
              <w:jc w:val="center"/>
              <w:rPr>
                <w:rFonts w:ascii="Arial"/>
                <w:color w:val="auto"/>
                <w:sz w:val="24"/>
                <w:szCs w:val="24"/>
              </w:rPr>
            </w:pPr>
          </w:p>
          <w:p w14:paraId="30814DEF">
            <w:pPr>
              <w:spacing w:before="46" w:line="181" w:lineRule="auto"/>
              <w:ind w:left="445"/>
              <w:jc w:val="center"/>
              <w:rPr>
                <w:rFonts w:ascii="Calibri" w:hAnsi="Calibri" w:eastAsia="Calibri" w:cs="Calibri"/>
                <w:color w:val="auto"/>
                <w:sz w:val="24"/>
                <w:szCs w:val="24"/>
              </w:rPr>
            </w:pPr>
          </w:p>
        </w:tc>
        <w:tc>
          <w:tcPr>
            <w:tcW w:w="6621" w:type="dxa"/>
            <w:vAlign w:val="top"/>
          </w:tcPr>
          <w:p w14:paraId="7078D8B3">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（1）建立</w:t>
            </w:r>
            <w:r>
              <w:rPr>
                <w:rFonts w:hint="eastAsia" w:cs="宋体"/>
                <w:color w:val="auto"/>
                <w:spacing w:val="-2"/>
                <w:sz w:val="24"/>
                <w:szCs w:val="24"/>
                <w:lang w:eastAsia="zh-CN"/>
              </w:rPr>
              <w:t>秩序</w:t>
            </w:r>
            <w:r>
              <w:rPr>
                <w:rFonts w:hint="eastAsia" w:ascii="宋体" w:hAnsi="宋体" w:eastAsia="宋体" w:cs="宋体"/>
                <w:color w:val="auto"/>
                <w:spacing w:val="-2"/>
                <w:sz w:val="24"/>
                <w:szCs w:val="24"/>
              </w:rPr>
              <w:t>服务相关制度，并按照执行。</w:t>
            </w:r>
          </w:p>
          <w:p w14:paraId="5D90E644">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（2）对巡查、值守及异常情况等做好相关记录，填写规范，保存完好。</w:t>
            </w:r>
          </w:p>
          <w:p w14:paraId="4E73A723">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（3）配备</w:t>
            </w:r>
            <w:r>
              <w:rPr>
                <w:rFonts w:hint="eastAsia" w:cs="宋体"/>
                <w:color w:val="auto"/>
                <w:spacing w:val="-2"/>
                <w:sz w:val="24"/>
                <w:szCs w:val="24"/>
                <w:lang w:val="en-US" w:eastAsia="zh-CN"/>
              </w:rPr>
              <w:t>秩序</w:t>
            </w:r>
            <w:r>
              <w:rPr>
                <w:rFonts w:hint="eastAsia" w:ascii="宋体" w:hAnsi="宋体" w:eastAsia="宋体" w:cs="宋体"/>
                <w:color w:val="auto"/>
                <w:spacing w:val="-2"/>
                <w:sz w:val="24"/>
                <w:szCs w:val="24"/>
              </w:rPr>
              <w:t>服务必要的器材。</w:t>
            </w:r>
          </w:p>
          <w:p w14:paraId="26996959">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4</w:t>
            </w:r>
            <w:r>
              <w:rPr>
                <w:rFonts w:hint="eastAsia" w:ascii="宋体" w:hAnsi="宋体" w:eastAsia="宋体" w:cs="宋体"/>
                <w:color w:val="auto"/>
                <w:spacing w:val="-2"/>
                <w:sz w:val="24"/>
                <w:szCs w:val="24"/>
              </w:rPr>
              <w:t>）办公楼（区）主出入口应当实行24小时值班制。</w:t>
            </w:r>
          </w:p>
          <w:p w14:paraId="6934254A">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5</w:t>
            </w:r>
            <w:r>
              <w:rPr>
                <w:rFonts w:hint="eastAsia" w:ascii="宋体" w:hAnsi="宋体" w:eastAsia="宋体" w:cs="宋体"/>
                <w:color w:val="auto"/>
                <w:spacing w:val="-2"/>
                <w:sz w:val="24"/>
                <w:szCs w:val="24"/>
              </w:rPr>
              <w:t>）设置门岗。</w:t>
            </w:r>
          </w:p>
          <w:p w14:paraId="294D0212">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6</w:t>
            </w:r>
            <w:r>
              <w:rPr>
                <w:rFonts w:hint="eastAsia" w:ascii="宋体" w:hAnsi="宋体" w:eastAsia="宋体" w:cs="宋体"/>
                <w:color w:val="auto"/>
                <w:spacing w:val="-2"/>
                <w:sz w:val="24"/>
                <w:szCs w:val="24"/>
              </w:rPr>
              <w:t>）在出入口对外来人员及其携带大件物品、外来车辆进行询问和记录，并与相关部门取得联系，同意后方可进入。</w:t>
            </w:r>
          </w:p>
          <w:p w14:paraId="6234A67E">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7</w:t>
            </w:r>
            <w:r>
              <w:rPr>
                <w:rFonts w:hint="eastAsia" w:ascii="宋体" w:hAnsi="宋体" w:eastAsia="宋体" w:cs="宋体"/>
                <w:color w:val="auto"/>
                <w:spacing w:val="-2"/>
                <w:sz w:val="24"/>
                <w:szCs w:val="24"/>
              </w:rPr>
              <w:t>）大件物品搬出有相关部门开具的证明和清单，经核实后放行。</w:t>
            </w:r>
          </w:p>
          <w:p w14:paraId="67AE9E17">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）排查可疑人员，对于不出示证件、不按规定登记、不听劝阻而强行闯入者，及时劝离，必要时通知公安机关进行处理。</w:t>
            </w:r>
          </w:p>
          <w:p w14:paraId="01AF2F63">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9</w:t>
            </w:r>
            <w:r>
              <w:rPr>
                <w:rFonts w:hint="eastAsia" w:ascii="宋体" w:hAnsi="宋体" w:eastAsia="宋体" w:cs="宋体"/>
                <w:color w:val="auto"/>
                <w:spacing w:val="-2"/>
                <w:sz w:val="24"/>
                <w:szCs w:val="24"/>
              </w:rPr>
              <w:t>）配合相关部门积极疏导上访人员，有效疏导如出入口人群集聚、车辆拥堵、货物堵塞道路等情况。</w:t>
            </w:r>
          </w:p>
          <w:p w14:paraId="2E6ACCAF">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10</w:t>
            </w:r>
            <w:r>
              <w:rPr>
                <w:rFonts w:hint="eastAsia" w:ascii="宋体" w:hAnsi="宋体" w:eastAsia="宋体" w:cs="宋体"/>
                <w:color w:val="auto"/>
                <w:spacing w:val="-2"/>
                <w:sz w:val="24"/>
                <w:szCs w:val="24"/>
              </w:rPr>
              <w:t>）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p w14:paraId="034D3EC9">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11</w:t>
            </w:r>
            <w:r>
              <w:rPr>
                <w:rFonts w:hint="eastAsia" w:ascii="宋体" w:hAnsi="宋体" w:eastAsia="宋体" w:cs="宋体"/>
                <w:color w:val="auto"/>
                <w:spacing w:val="-2"/>
                <w:sz w:val="24"/>
                <w:szCs w:val="24"/>
              </w:rPr>
              <w:t>）提供现场接待服务。</w:t>
            </w:r>
          </w:p>
          <w:p w14:paraId="343DAD09">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①做好来访人员、车辆进出证件登记，及时通报。</w:t>
            </w:r>
          </w:p>
          <w:p w14:paraId="7C4EBDB1">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②严禁无关人员、可疑人员和危险物品进入办公楼（区）内。</w:t>
            </w:r>
          </w:p>
          <w:p w14:paraId="77ED6DF0">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③物品摆放整齐有序、分类放置。</w:t>
            </w:r>
          </w:p>
          <w:p w14:paraId="02991014">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④现场办理等待时间不超过5分钟，等待较长时间应当及时沟通。</w:t>
            </w:r>
          </w:p>
          <w:p w14:paraId="46D7A222">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⑤对来访人员咨询、建议、求助等事项，及时处理或答复，处理和答复率100%。</w:t>
            </w:r>
          </w:p>
          <w:p w14:paraId="3E2D4A3A">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⑥接待服务工作时间应当覆盖采购人工作时间（上班时间为—-）。</w:t>
            </w:r>
          </w:p>
          <w:p w14:paraId="432BBE03">
            <w:pPr>
              <w:pStyle w:val="15"/>
              <w:spacing w:line="195" w:lineRule="auto"/>
              <w:ind w:left="84" w:right="189" w:firstLine="183"/>
              <w:rPr>
                <w:rFonts w:hint="eastAsia" w:ascii="宋体" w:hAnsi="宋体" w:eastAsia="宋体" w:cs="宋体"/>
                <w:color w:val="auto"/>
                <w:sz w:val="24"/>
                <w:szCs w:val="24"/>
              </w:rPr>
            </w:pPr>
            <w:r>
              <w:rPr>
                <w:rFonts w:hint="eastAsia" w:ascii="宋体" w:hAnsi="宋体" w:eastAsia="宋体" w:cs="宋体"/>
                <w:color w:val="auto"/>
                <w:spacing w:val="-2"/>
                <w:sz w:val="24"/>
                <w:szCs w:val="24"/>
              </w:rPr>
              <w:t>⑦与被访人进行核实确认；告知被访人的办公室门牌号；告知访客注意事项（根据实际需要填写注意事项）。</w:t>
            </w:r>
          </w:p>
        </w:tc>
      </w:tr>
      <w:tr w14:paraId="2B89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5EC077A7">
            <w:pPr>
              <w:spacing w:before="46" w:line="181" w:lineRule="auto"/>
              <w:jc w:val="center"/>
              <w:rPr>
                <w:rFonts w:hint="default" w:ascii="Calibri" w:hAnsi="Calibri" w:eastAsia="宋体" w:cs="Calibri"/>
                <w:color w:val="auto"/>
                <w:sz w:val="24"/>
                <w:szCs w:val="24"/>
                <w:lang w:val="en-US" w:eastAsia="zh-CN"/>
              </w:rPr>
            </w:pPr>
            <w:r>
              <w:rPr>
                <w:rFonts w:hint="eastAsia" w:ascii="Calibri" w:hAnsi="Calibri" w:eastAsia="宋体" w:cs="Calibri"/>
                <w:color w:val="auto"/>
                <w:sz w:val="24"/>
                <w:szCs w:val="24"/>
                <w:lang w:val="en-US" w:eastAsia="zh-CN"/>
              </w:rPr>
              <w:t>监控值班</w:t>
            </w:r>
          </w:p>
        </w:tc>
        <w:tc>
          <w:tcPr>
            <w:tcW w:w="6621" w:type="dxa"/>
            <w:vAlign w:val="top"/>
          </w:tcPr>
          <w:p w14:paraId="038272D8">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（1）建立24小时值班巡查制度。</w:t>
            </w:r>
          </w:p>
          <w:p w14:paraId="5FD013CE">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（2）制定巡查路线，按照指定时间和路线执行，加强重点区域、重点部位及装修区域的巡查。</w:t>
            </w:r>
          </w:p>
          <w:p w14:paraId="30FB3380">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（3）巡查期间保持通信设施设备畅通，遇到异常情况立即上报并在现场采取相应措施。</w:t>
            </w:r>
          </w:p>
          <w:p w14:paraId="77E7F0F0">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（4）收到监控室指令后，巡查人员及时到达指定地点并迅速采取相应措施。</w:t>
            </w:r>
          </w:p>
          <w:p w14:paraId="188997D1">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5</w:t>
            </w:r>
            <w:r>
              <w:rPr>
                <w:rFonts w:hint="eastAsia" w:ascii="宋体" w:hAnsi="宋体" w:eastAsia="宋体" w:cs="宋体"/>
                <w:color w:val="auto"/>
                <w:spacing w:val="-2"/>
                <w:sz w:val="24"/>
                <w:szCs w:val="24"/>
              </w:rPr>
              <w:t>）监控室环境符合系统设备运行要求，定期进行检查和检测，确保系统功能正常。</w:t>
            </w:r>
          </w:p>
          <w:p w14:paraId="240C45F3">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6</w:t>
            </w:r>
            <w:r>
              <w:rPr>
                <w:rFonts w:hint="eastAsia" w:ascii="宋体" w:hAnsi="宋体" w:eastAsia="宋体" w:cs="宋体"/>
                <w:color w:val="auto"/>
                <w:spacing w:val="-2"/>
                <w:sz w:val="24"/>
                <w:szCs w:val="24"/>
              </w:rPr>
              <w:t>）监控设备24小时正常运行，监控室实行专人24小时值班制度。</w:t>
            </w:r>
          </w:p>
          <w:p w14:paraId="754FB187">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7</w:t>
            </w:r>
            <w:r>
              <w:rPr>
                <w:rFonts w:hint="eastAsia" w:ascii="宋体" w:hAnsi="宋体" w:eastAsia="宋体" w:cs="宋体"/>
                <w:color w:val="auto"/>
                <w:spacing w:val="-2"/>
                <w:sz w:val="24"/>
                <w:szCs w:val="24"/>
              </w:rPr>
              <w:t>）监控记录画面清晰，视频监控无死角、无盲区。</w:t>
            </w:r>
          </w:p>
          <w:p w14:paraId="75021F40">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）值班期间遵守操作规程和保密制度，做好监控记录的保存工作。</w:t>
            </w:r>
          </w:p>
          <w:p w14:paraId="5F803D15">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9</w:t>
            </w:r>
            <w:r>
              <w:rPr>
                <w:rFonts w:hint="eastAsia" w:ascii="宋体" w:hAnsi="宋体" w:eastAsia="宋体" w:cs="宋体"/>
                <w:color w:val="auto"/>
                <w:spacing w:val="-2"/>
                <w:sz w:val="24"/>
                <w:szCs w:val="24"/>
              </w:rPr>
              <w:t>）监控记录保持完整，保存时间不应少于90天。</w:t>
            </w:r>
          </w:p>
          <w:p w14:paraId="4DA7A2C6">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10</w:t>
            </w:r>
            <w:r>
              <w:rPr>
                <w:rFonts w:hint="eastAsia" w:ascii="宋体" w:hAnsi="宋体" w:eastAsia="宋体" w:cs="宋体"/>
                <w:color w:val="auto"/>
                <w:spacing w:val="-2"/>
                <w:sz w:val="24"/>
                <w:szCs w:val="24"/>
              </w:rPr>
              <w:t>）无关人员进入监控室或查阅监控记录，经授权人批准并做好相关记录。</w:t>
            </w:r>
          </w:p>
          <w:p w14:paraId="13DB3992">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11</w:t>
            </w:r>
            <w:r>
              <w:rPr>
                <w:rFonts w:hint="eastAsia" w:ascii="宋体" w:hAnsi="宋体" w:eastAsia="宋体" w:cs="宋体"/>
                <w:color w:val="auto"/>
                <w:spacing w:val="-2"/>
                <w:sz w:val="24"/>
                <w:szCs w:val="24"/>
              </w:rPr>
              <w:t>）监控室收到火情等报警信号、其他异常情况信号后，及时报警并安排其他安保人员前往现场进行处理。</w:t>
            </w:r>
          </w:p>
        </w:tc>
      </w:tr>
      <w:tr w14:paraId="5C0C2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50ADAE17">
            <w:pPr>
              <w:spacing w:before="46" w:line="181" w:lineRule="auto"/>
              <w:jc w:val="center"/>
              <w:rPr>
                <w:rFonts w:hint="default" w:ascii="Calibri" w:hAnsi="Calibri" w:eastAsia="宋体" w:cs="Calibri"/>
                <w:color w:val="auto"/>
                <w:sz w:val="24"/>
                <w:szCs w:val="24"/>
                <w:lang w:val="en-US" w:eastAsia="zh-CN"/>
              </w:rPr>
            </w:pPr>
            <w:r>
              <w:rPr>
                <w:rFonts w:hint="eastAsia" w:ascii="Calibri" w:hAnsi="Calibri" w:eastAsia="宋体" w:cs="Calibri"/>
                <w:color w:val="auto"/>
                <w:sz w:val="24"/>
                <w:szCs w:val="24"/>
                <w:lang w:val="en-US" w:eastAsia="zh-CN"/>
              </w:rPr>
              <w:t>车辆停放</w:t>
            </w:r>
          </w:p>
        </w:tc>
        <w:tc>
          <w:tcPr>
            <w:tcW w:w="6621" w:type="dxa"/>
            <w:vAlign w:val="top"/>
          </w:tcPr>
          <w:p w14:paraId="6EA1100C">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（1）车辆行驶路线设置合理、规范，导向标志完整、清晰。</w:t>
            </w:r>
          </w:p>
          <w:p w14:paraId="08B23985">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（2）合理规划车辆停放区域，张贴车辆引导标识，对车辆及停放区域实行规范管理。</w:t>
            </w:r>
          </w:p>
          <w:p w14:paraId="790A478E">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（3）严禁在办公楼的公用走道、楼梯间、安全出口处等公共区域停放车辆或充电。</w:t>
            </w:r>
          </w:p>
          <w:p w14:paraId="3AE4E140">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（4）非机动车定点有序停放。</w:t>
            </w:r>
          </w:p>
          <w:p w14:paraId="656698E6">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（5）发现车辆异常情况及时通知车主，并做好登记；发生交通事故、自然灾害等意外事故时及时赶赴现场疏导和协助处理，响应时间不超过3分钟。</w:t>
            </w:r>
          </w:p>
        </w:tc>
      </w:tr>
      <w:tr w14:paraId="4D92C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6BCD5E36">
            <w:pPr>
              <w:spacing w:before="46" w:line="181" w:lineRule="auto"/>
              <w:jc w:val="center"/>
              <w:rPr>
                <w:rFonts w:ascii="Calibri" w:hAnsi="Calibri" w:eastAsia="Calibri" w:cs="Calibri"/>
                <w:color w:val="auto"/>
                <w:sz w:val="24"/>
                <w:szCs w:val="24"/>
              </w:rPr>
            </w:pPr>
            <w:r>
              <w:rPr>
                <w:rFonts w:hint="eastAsia" w:ascii="Calibri" w:hAnsi="Calibri" w:eastAsia="Calibri" w:cs="Calibri"/>
                <w:color w:val="auto"/>
                <w:sz w:val="24"/>
                <w:szCs w:val="24"/>
              </w:rPr>
              <w:t>消防安全管理</w:t>
            </w:r>
          </w:p>
        </w:tc>
        <w:tc>
          <w:tcPr>
            <w:tcW w:w="6621" w:type="dxa"/>
            <w:vAlign w:val="top"/>
          </w:tcPr>
          <w:p w14:paraId="0C8C4FFB">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（1）建立消防安全责任制，确定各级消防安全责任人及其职责。</w:t>
            </w:r>
          </w:p>
          <w:p w14:paraId="2DB40F30">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（2）消防控制室实行24小时值班制度，每班不少于2人。</w:t>
            </w:r>
          </w:p>
          <w:p w14:paraId="3E0CA540">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（3）消火栓、应急照明、应急物资、消防及人员逃生通道、消防车通道可随时正常使用。</w:t>
            </w:r>
          </w:p>
          <w:p w14:paraId="79A88C99">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（4）易燃易爆品设专区专人管理，做好相关记录。</w:t>
            </w:r>
          </w:p>
          <w:p w14:paraId="50FD647E">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（5）定期组织消防安全宣传，每半年至少开展1次消防演练。</w:t>
            </w:r>
          </w:p>
        </w:tc>
      </w:tr>
      <w:tr w14:paraId="70BBC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6709D4C7">
            <w:pPr>
              <w:spacing w:before="46" w:line="181" w:lineRule="auto"/>
              <w:jc w:val="center"/>
              <w:rPr>
                <w:rFonts w:hint="default" w:ascii="Calibri" w:hAnsi="Calibri" w:eastAsia="宋体" w:cs="Calibri"/>
                <w:color w:val="auto"/>
                <w:sz w:val="24"/>
                <w:szCs w:val="24"/>
                <w:lang w:val="en-US" w:eastAsia="zh-CN"/>
              </w:rPr>
            </w:pPr>
            <w:r>
              <w:rPr>
                <w:rFonts w:hint="eastAsia" w:ascii="Calibri" w:hAnsi="Calibri" w:eastAsia="宋体" w:cs="Calibri"/>
                <w:color w:val="auto"/>
                <w:sz w:val="24"/>
                <w:szCs w:val="24"/>
                <w:lang w:val="en-US" w:eastAsia="zh-CN"/>
              </w:rPr>
              <w:t>突发事件及大型活动管理</w:t>
            </w:r>
          </w:p>
        </w:tc>
        <w:tc>
          <w:tcPr>
            <w:tcW w:w="6621" w:type="dxa"/>
            <w:vAlign w:val="top"/>
          </w:tcPr>
          <w:p w14:paraId="2F06F9DE">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（1）制定突发事件安全责任书，明确突发事件责任人及应承担的安全责任。</w:t>
            </w:r>
          </w:p>
          <w:p w14:paraId="7D8A71E4">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（2）建立应急突发事件处置队伍，明确各自的职责。</w:t>
            </w:r>
          </w:p>
          <w:p w14:paraId="736BBA53">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（3）识别、分析各种潜在风险，针对不同风险类型制定相应解决方案，并配备应急物资。</w:t>
            </w:r>
          </w:p>
          <w:p w14:paraId="2DA6D9A6">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（4）每半年至少开展1次突发事件应急演练，并有相应记录。</w:t>
            </w:r>
          </w:p>
          <w:p w14:paraId="65B1517D">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（5）发生意外事件时，及时采取应急措施，维护办公区域物业服务正常进行，保护人身财产安全。</w:t>
            </w:r>
          </w:p>
          <w:p w14:paraId="6E7EC199">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（6）办公区域物业服务应急预案终止实施后，积极采取措施，在尽可能短的时间内，消除事故带来的不良影响，妥善安置和慰问受害及受影响的人员和部门。</w:t>
            </w:r>
          </w:p>
          <w:p w14:paraId="06B806EC">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（7）事故处理后，及时形成事故应急总结报告，完善应急救援工作方案。</w:t>
            </w:r>
          </w:p>
          <w:p w14:paraId="751B23C8">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）制定相应的活动秩序维护方案，合理安排人员，并对场所的安全隐患进行排查。</w:t>
            </w:r>
          </w:p>
          <w:p w14:paraId="5A9FF490">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9</w:t>
            </w:r>
            <w:r>
              <w:rPr>
                <w:rFonts w:hint="eastAsia" w:ascii="宋体" w:hAnsi="宋体" w:eastAsia="宋体" w:cs="宋体"/>
                <w:color w:val="auto"/>
                <w:spacing w:val="-2"/>
                <w:sz w:val="24"/>
                <w:szCs w:val="24"/>
              </w:rPr>
              <w:t>）应当保障通道、出入口、停车场等区域畅通。</w:t>
            </w:r>
          </w:p>
          <w:p w14:paraId="46C62A1E">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10</w:t>
            </w:r>
            <w:r>
              <w:rPr>
                <w:rFonts w:hint="eastAsia" w:ascii="宋体" w:hAnsi="宋体" w:eastAsia="宋体" w:cs="宋体"/>
                <w:color w:val="auto"/>
                <w:spacing w:val="-2"/>
                <w:sz w:val="24"/>
                <w:szCs w:val="24"/>
              </w:rPr>
              <w:t>）活动举办过程中，做好现场秩序的维护和突发事故的处置工作，确保活动正常进行。</w:t>
            </w:r>
          </w:p>
        </w:tc>
      </w:tr>
    </w:tbl>
    <w:p w14:paraId="696E4857">
      <w:pPr>
        <w:numPr>
          <w:ilvl w:val="0"/>
          <w:numId w:val="3"/>
        </w:numPr>
        <w:spacing w:line="360" w:lineRule="auto"/>
        <w:ind w:left="0" w:leftChars="0" w:firstLine="48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会议服务</w:t>
      </w:r>
    </w:p>
    <w:tbl>
      <w:tblPr>
        <w:tblStyle w:val="16"/>
        <w:tblpPr w:leftFromText="180" w:rightFromText="180" w:vertAnchor="text" w:horzAnchor="page" w:tblpXSpec="center" w:tblpY="458"/>
        <w:tblOverlap w:val="never"/>
        <w:tblW w:w="7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621"/>
      </w:tblGrid>
      <w:tr w14:paraId="64B6C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05EDD25A">
            <w:pPr>
              <w:spacing w:before="46" w:line="181" w:lineRule="auto"/>
              <w:jc w:val="center"/>
              <w:rPr>
                <w:rFonts w:hint="default" w:ascii="Calibri" w:hAnsi="Calibri" w:eastAsia="宋体" w:cs="Calibri"/>
                <w:color w:val="auto"/>
                <w:sz w:val="24"/>
                <w:szCs w:val="24"/>
                <w:lang w:val="en-US" w:eastAsia="zh-CN"/>
              </w:rPr>
            </w:pPr>
            <w:r>
              <w:rPr>
                <w:rFonts w:hint="eastAsia" w:ascii="Calibri" w:hAnsi="Calibri" w:eastAsia="宋体" w:cs="Calibri"/>
                <w:color w:val="auto"/>
                <w:sz w:val="24"/>
                <w:szCs w:val="24"/>
                <w:lang w:val="en-US" w:eastAsia="zh-CN"/>
              </w:rPr>
              <w:t>会议服务</w:t>
            </w:r>
          </w:p>
        </w:tc>
        <w:tc>
          <w:tcPr>
            <w:tcW w:w="6621" w:type="dxa"/>
            <w:vAlign w:val="top"/>
          </w:tcPr>
          <w:p w14:paraId="42CE44E6">
            <w:pPr>
              <w:pStyle w:val="15"/>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（1）接受会议预订，记录会议需求。</w:t>
            </w:r>
          </w:p>
          <w:p w14:paraId="4C249FBF">
            <w:pPr>
              <w:pStyle w:val="15"/>
              <w:spacing w:line="195" w:lineRule="auto"/>
              <w:ind w:left="84" w:right="189" w:firstLine="183"/>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2</w:t>
            </w:r>
            <w:r>
              <w:rPr>
                <w:rFonts w:hint="eastAsia" w:cs="宋体"/>
                <w:color w:val="auto"/>
                <w:spacing w:val="-2"/>
                <w:sz w:val="24"/>
                <w:szCs w:val="24"/>
                <w:lang w:eastAsia="zh-CN"/>
              </w:rPr>
              <w:t>）</w:t>
            </w:r>
            <w:r>
              <w:rPr>
                <w:rFonts w:hint="eastAsia" w:ascii="宋体" w:hAnsi="宋体" w:eastAsia="宋体" w:cs="宋体"/>
                <w:color w:val="auto"/>
                <w:spacing w:val="-2"/>
                <w:sz w:val="24"/>
                <w:szCs w:val="24"/>
              </w:rPr>
              <w:t>根据会议需求、场地大小、用途，明确会议桌椅、物品、设备、文具等摆放规定，音、视频设施保障措施。提前对会场的空调、照明、电器设备以及门、窗进行全面检查。提前调试室内温度。</w:t>
            </w:r>
          </w:p>
          <w:p w14:paraId="1D62ED37">
            <w:pPr>
              <w:pStyle w:val="15"/>
              <w:spacing w:line="195" w:lineRule="auto"/>
              <w:ind w:right="189"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3</w:t>
            </w:r>
            <w:r>
              <w:rPr>
                <w:rFonts w:hint="eastAsia" w:cs="宋体"/>
                <w:color w:val="auto"/>
                <w:spacing w:val="-2"/>
                <w:sz w:val="24"/>
                <w:szCs w:val="24"/>
                <w:lang w:eastAsia="zh-CN"/>
              </w:rPr>
              <w:t>）</w:t>
            </w:r>
            <w:r>
              <w:rPr>
                <w:rFonts w:hint="eastAsia" w:ascii="宋体" w:hAnsi="宋体" w:eastAsia="宋体" w:cs="宋体"/>
                <w:color w:val="auto"/>
                <w:spacing w:val="-2"/>
                <w:sz w:val="24"/>
                <w:szCs w:val="24"/>
              </w:rPr>
              <w:t>做好引导牌并放置在指定位置，引导人员引导手势规范，语言标准。</w:t>
            </w:r>
          </w:p>
          <w:p w14:paraId="2300CCEF">
            <w:pPr>
              <w:pStyle w:val="15"/>
              <w:spacing w:line="195" w:lineRule="auto"/>
              <w:ind w:right="189"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4</w:t>
            </w:r>
            <w:r>
              <w:rPr>
                <w:rFonts w:hint="eastAsia" w:cs="宋体"/>
                <w:color w:val="auto"/>
                <w:spacing w:val="-2"/>
                <w:sz w:val="24"/>
                <w:szCs w:val="24"/>
                <w:lang w:eastAsia="zh-CN"/>
              </w:rPr>
              <w:t>）</w:t>
            </w:r>
            <w:r>
              <w:rPr>
                <w:rFonts w:hint="eastAsia" w:ascii="宋体" w:hAnsi="宋体" w:eastAsia="宋体" w:cs="宋体"/>
                <w:color w:val="auto"/>
                <w:spacing w:val="-2"/>
                <w:sz w:val="24"/>
                <w:szCs w:val="24"/>
              </w:rPr>
              <w:t>会议期间按要求加水。</w:t>
            </w:r>
          </w:p>
          <w:p w14:paraId="4F056F4C">
            <w:pPr>
              <w:pStyle w:val="15"/>
              <w:spacing w:line="195" w:lineRule="auto"/>
              <w:ind w:right="189"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5</w:t>
            </w:r>
            <w:r>
              <w:rPr>
                <w:rFonts w:hint="eastAsia" w:cs="宋体"/>
                <w:color w:val="auto"/>
                <w:spacing w:val="-2"/>
                <w:sz w:val="24"/>
                <w:szCs w:val="24"/>
                <w:lang w:eastAsia="zh-CN"/>
              </w:rPr>
              <w:t>）会议室、接待室整洁，无灰尘、无污渍，为参会人员提供舒适的环境。保证会议室内各种设施设备正常使用，发现问题及时解决，不得影响会议室的正常使用。</w:t>
            </w:r>
          </w:p>
        </w:tc>
      </w:tr>
    </w:tbl>
    <w:p w14:paraId="09759C70">
      <w:pPr>
        <w:pStyle w:val="8"/>
        <w:ind w:left="0" w:leftChars="0" w:firstLine="0" w:firstLineChars="0"/>
        <w:jc w:val="both"/>
        <w:rPr>
          <w:rFonts w:hint="eastAsia"/>
          <w:lang w:val="en-US" w:eastAsia="zh-CN"/>
        </w:rPr>
      </w:pPr>
    </w:p>
    <w:p w14:paraId="1FC04D54">
      <w:pPr>
        <w:numPr>
          <w:ilvl w:val="0"/>
          <w:numId w:val="2"/>
        </w:numPr>
        <w:spacing w:line="360" w:lineRule="auto"/>
        <w:ind w:left="0" w:leftChars="0" w:firstLine="482" w:firstLineChars="0"/>
        <w:rPr>
          <w:rFonts w:hint="eastAsia" w:ascii="宋体" w:hAnsi="宋体" w:eastAsia="宋体" w:cs="Times New Roman"/>
          <w:b/>
          <w:bCs/>
          <w:sz w:val="24"/>
          <w:szCs w:val="24"/>
        </w:rPr>
      </w:pPr>
      <w:r>
        <w:rPr>
          <w:rFonts w:hint="eastAsia" w:ascii="宋体" w:hAnsi="宋体" w:eastAsia="宋体" w:cs="Times New Roman"/>
          <w:b/>
          <w:bCs/>
          <w:sz w:val="24"/>
          <w:szCs w:val="24"/>
        </w:rPr>
        <w:t>服务人员需求</w:t>
      </w:r>
    </w:p>
    <w:tbl>
      <w:tblPr>
        <w:tblStyle w:val="16"/>
        <w:tblW w:w="90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7"/>
        <w:gridCol w:w="1988"/>
        <w:gridCol w:w="767"/>
        <w:gridCol w:w="1323"/>
        <w:gridCol w:w="4309"/>
      </w:tblGrid>
      <w:tr w14:paraId="4159E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7" w:type="dxa"/>
            <w:vAlign w:val="top"/>
          </w:tcPr>
          <w:p w14:paraId="262A0B16">
            <w:pPr>
              <w:pStyle w:val="15"/>
              <w:spacing w:before="97" w:line="221"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部门职能</w:t>
            </w:r>
          </w:p>
        </w:tc>
        <w:tc>
          <w:tcPr>
            <w:tcW w:w="1988" w:type="dxa"/>
            <w:vAlign w:val="center"/>
          </w:tcPr>
          <w:p w14:paraId="293419B0">
            <w:pPr>
              <w:pStyle w:val="15"/>
              <w:spacing w:before="97" w:line="221" w:lineRule="auto"/>
              <w:ind w:left="622"/>
              <w:jc w:val="both"/>
              <w:rPr>
                <w:rFonts w:hint="eastAsia" w:ascii="宋体" w:hAnsi="宋体" w:eastAsia="宋体" w:cs="宋体"/>
                <w:color w:val="auto"/>
                <w:sz w:val="24"/>
                <w:szCs w:val="24"/>
              </w:rPr>
            </w:pPr>
            <w:r>
              <w:rPr>
                <w:rFonts w:hint="eastAsia" w:ascii="宋体" w:hAnsi="宋体" w:eastAsia="宋体" w:cs="宋体"/>
                <w:color w:val="auto"/>
                <w:spacing w:val="-11"/>
                <w:sz w:val="24"/>
                <w:szCs w:val="24"/>
              </w:rPr>
              <w:t>岗位</w:t>
            </w:r>
          </w:p>
        </w:tc>
        <w:tc>
          <w:tcPr>
            <w:tcW w:w="767" w:type="dxa"/>
            <w:vAlign w:val="center"/>
          </w:tcPr>
          <w:p w14:paraId="6D33B4FE">
            <w:pPr>
              <w:pStyle w:val="15"/>
              <w:spacing w:before="97" w:line="221"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人数</w:t>
            </w:r>
          </w:p>
        </w:tc>
        <w:tc>
          <w:tcPr>
            <w:tcW w:w="1323" w:type="dxa"/>
            <w:vAlign w:val="center"/>
          </w:tcPr>
          <w:p w14:paraId="576B6529">
            <w:pPr>
              <w:pStyle w:val="15"/>
              <w:spacing w:before="97" w:line="221" w:lineRule="auto"/>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最高限价</w:t>
            </w:r>
          </w:p>
          <w:p w14:paraId="748A458D">
            <w:pPr>
              <w:pStyle w:val="15"/>
              <w:spacing w:before="97" w:line="221"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（元/人·月）</w:t>
            </w:r>
          </w:p>
        </w:tc>
        <w:tc>
          <w:tcPr>
            <w:tcW w:w="4309" w:type="dxa"/>
            <w:vAlign w:val="center"/>
          </w:tcPr>
          <w:p w14:paraId="1AF8EA3D">
            <w:pPr>
              <w:pStyle w:val="15"/>
              <w:spacing w:before="11" w:line="223" w:lineRule="auto"/>
              <w:ind w:right="76"/>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备注（岗位所需服务时长或时段、需具备的上岗资格证、人员学历、工作经验等要求）</w:t>
            </w:r>
          </w:p>
        </w:tc>
      </w:tr>
      <w:tr w14:paraId="470E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Align w:val="top"/>
          </w:tcPr>
          <w:p w14:paraId="17D72D36">
            <w:pPr>
              <w:pStyle w:val="15"/>
              <w:spacing w:before="59" w:line="221" w:lineRule="auto"/>
              <w:ind w:left="8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服务中心</w:t>
            </w:r>
          </w:p>
        </w:tc>
        <w:tc>
          <w:tcPr>
            <w:tcW w:w="1988" w:type="dxa"/>
            <w:vAlign w:val="top"/>
          </w:tcPr>
          <w:p w14:paraId="35A6CCCC">
            <w:pPr>
              <w:pStyle w:val="15"/>
              <w:spacing w:before="59" w:line="221" w:lineRule="auto"/>
              <w:ind w:left="84"/>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项目经理</w:t>
            </w:r>
          </w:p>
        </w:tc>
        <w:tc>
          <w:tcPr>
            <w:tcW w:w="767" w:type="dxa"/>
            <w:vAlign w:val="top"/>
          </w:tcPr>
          <w:p w14:paraId="6E09D613">
            <w:pPr>
              <w:spacing w:before="92" w:line="180" w:lineRule="auto"/>
              <w:ind w:left="75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23" w:type="dxa"/>
            <w:vAlign w:val="top"/>
          </w:tcPr>
          <w:p w14:paraId="4CCF3B66">
            <w:pPr>
              <w:spacing w:before="92" w:line="180" w:lineRule="auto"/>
              <w:ind w:left="1057"/>
              <w:rPr>
                <w:rFonts w:hint="eastAsia" w:ascii="宋体" w:hAnsi="宋体" w:eastAsia="宋体" w:cs="宋体"/>
                <w:color w:val="auto"/>
                <w:sz w:val="24"/>
                <w:szCs w:val="24"/>
              </w:rPr>
            </w:pPr>
          </w:p>
        </w:tc>
        <w:tc>
          <w:tcPr>
            <w:tcW w:w="4309" w:type="dxa"/>
            <w:vAlign w:val="top"/>
          </w:tcPr>
          <w:p w14:paraId="0145E1C5">
            <w:pPr>
              <w:pStyle w:val="15"/>
              <w:spacing w:before="59" w:line="221" w:lineRule="auto"/>
              <w:ind w:left="82"/>
              <w:rPr>
                <w:rFonts w:hint="eastAsia" w:ascii="宋体" w:hAnsi="宋体" w:eastAsia="宋体" w:cs="宋体"/>
                <w:color w:val="auto"/>
                <w:sz w:val="24"/>
                <w:szCs w:val="24"/>
              </w:rPr>
            </w:pPr>
            <w:r>
              <w:rPr>
                <w:rFonts w:hint="eastAsia" w:ascii="宋体" w:hAnsi="宋体" w:eastAsia="宋体" w:cs="宋体"/>
                <w:color w:val="auto"/>
                <w:spacing w:val="-1"/>
                <w:sz w:val="24"/>
                <w:szCs w:val="24"/>
              </w:rPr>
              <w:t>如：8小时，合同期内在岗率。</w:t>
            </w:r>
          </w:p>
        </w:tc>
      </w:tr>
      <w:tr w14:paraId="0A718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restart"/>
            <w:tcBorders>
              <w:bottom w:val="nil"/>
            </w:tcBorders>
            <w:vAlign w:val="top"/>
          </w:tcPr>
          <w:p w14:paraId="1FE58AE1">
            <w:pPr>
              <w:spacing w:line="268" w:lineRule="auto"/>
              <w:jc w:val="center"/>
              <w:rPr>
                <w:rFonts w:hint="eastAsia" w:ascii="宋体" w:hAnsi="宋体" w:eastAsia="宋体" w:cs="宋体"/>
                <w:color w:val="auto"/>
                <w:sz w:val="24"/>
                <w:szCs w:val="24"/>
              </w:rPr>
            </w:pPr>
          </w:p>
          <w:p w14:paraId="05832C8E">
            <w:pPr>
              <w:spacing w:line="268" w:lineRule="auto"/>
              <w:jc w:val="center"/>
              <w:rPr>
                <w:rFonts w:hint="eastAsia" w:ascii="宋体" w:hAnsi="宋体" w:eastAsia="宋体" w:cs="宋体"/>
                <w:color w:val="auto"/>
                <w:sz w:val="24"/>
                <w:szCs w:val="24"/>
              </w:rPr>
            </w:pPr>
          </w:p>
          <w:p w14:paraId="15984310">
            <w:pPr>
              <w:pStyle w:val="15"/>
              <w:spacing w:before="49" w:line="220" w:lineRule="auto"/>
              <w:ind w:left="8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基本服务</w:t>
            </w:r>
          </w:p>
        </w:tc>
        <w:tc>
          <w:tcPr>
            <w:tcW w:w="1988" w:type="dxa"/>
            <w:vAlign w:val="top"/>
          </w:tcPr>
          <w:p w14:paraId="01CEFF36">
            <w:pPr>
              <w:pStyle w:val="15"/>
              <w:spacing w:before="70" w:line="221" w:lineRule="auto"/>
              <w:ind w:left="82"/>
              <w:rPr>
                <w:rFonts w:hint="eastAsia" w:ascii="宋体" w:hAnsi="宋体" w:eastAsia="宋体" w:cs="宋体"/>
                <w:color w:val="auto"/>
                <w:sz w:val="24"/>
                <w:szCs w:val="24"/>
              </w:rPr>
            </w:pPr>
            <w:r>
              <w:rPr>
                <w:rFonts w:hint="eastAsia" w:ascii="宋体" w:hAnsi="宋体" w:eastAsia="宋体" w:cs="宋体"/>
                <w:color w:val="auto"/>
                <w:spacing w:val="-4"/>
                <w:sz w:val="24"/>
                <w:szCs w:val="24"/>
              </w:rPr>
              <w:t>主管</w:t>
            </w:r>
          </w:p>
        </w:tc>
        <w:tc>
          <w:tcPr>
            <w:tcW w:w="767" w:type="dxa"/>
            <w:vAlign w:val="top"/>
          </w:tcPr>
          <w:p w14:paraId="37920CEC">
            <w:pPr>
              <w:rPr>
                <w:rFonts w:hint="eastAsia" w:ascii="宋体" w:hAnsi="宋体" w:eastAsia="宋体" w:cs="宋体"/>
                <w:color w:val="auto"/>
                <w:sz w:val="24"/>
                <w:szCs w:val="24"/>
              </w:rPr>
            </w:pPr>
          </w:p>
        </w:tc>
        <w:tc>
          <w:tcPr>
            <w:tcW w:w="1323" w:type="dxa"/>
            <w:vAlign w:val="top"/>
          </w:tcPr>
          <w:p w14:paraId="790610CB">
            <w:pPr>
              <w:rPr>
                <w:rFonts w:hint="eastAsia" w:ascii="宋体" w:hAnsi="宋体" w:eastAsia="宋体" w:cs="宋体"/>
                <w:color w:val="auto"/>
                <w:sz w:val="24"/>
                <w:szCs w:val="24"/>
              </w:rPr>
            </w:pPr>
          </w:p>
        </w:tc>
        <w:tc>
          <w:tcPr>
            <w:tcW w:w="4309" w:type="dxa"/>
            <w:vAlign w:val="top"/>
          </w:tcPr>
          <w:p w14:paraId="0EA74DA2">
            <w:pPr>
              <w:rPr>
                <w:rFonts w:hint="eastAsia" w:ascii="宋体" w:hAnsi="宋体" w:eastAsia="宋体" w:cs="宋体"/>
                <w:color w:val="auto"/>
                <w:sz w:val="24"/>
                <w:szCs w:val="24"/>
              </w:rPr>
            </w:pPr>
          </w:p>
        </w:tc>
      </w:tr>
      <w:tr w14:paraId="5BD05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top"/>
          </w:tcPr>
          <w:p w14:paraId="1023951B">
            <w:pPr>
              <w:jc w:val="center"/>
              <w:rPr>
                <w:rFonts w:hint="eastAsia" w:ascii="宋体" w:hAnsi="宋体" w:eastAsia="宋体" w:cs="宋体"/>
                <w:color w:val="auto"/>
                <w:sz w:val="24"/>
                <w:szCs w:val="24"/>
              </w:rPr>
            </w:pPr>
          </w:p>
        </w:tc>
        <w:tc>
          <w:tcPr>
            <w:tcW w:w="1988" w:type="dxa"/>
            <w:vAlign w:val="top"/>
          </w:tcPr>
          <w:p w14:paraId="17545ABD">
            <w:pPr>
              <w:pStyle w:val="15"/>
              <w:spacing w:before="71" w:line="220" w:lineRule="auto"/>
              <w:ind w:left="84"/>
              <w:rPr>
                <w:rFonts w:hint="eastAsia" w:ascii="宋体" w:hAnsi="宋体" w:eastAsia="宋体" w:cs="宋体"/>
                <w:color w:val="auto"/>
                <w:sz w:val="24"/>
                <w:szCs w:val="24"/>
              </w:rPr>
            </w:pPr>
            <w:r>
              <w:rPr>
                <w:rFonts w:hint="eastAsia" w:ascii="宋体" w:hAnsi="宋体" w:eastAsia="宋体" w:cs="宋体"/>
                <w:color w:val="auto"/>
                <w:spacing w:val="-2"/>
                <w:sz w:val="24"/>
                <w:szCs w:val="24"/>
              </w:rPr>
              <w:t>前台（或传达室）</w:t>
            </w:r>
          </w:p>
        </w:tc>
        <w:tc>
          <w:tcPr>
            <w:tcW w:w="767" w:type="dxa"/>
            <w:vAlign w:val="top"/>
          </w:tcPr>
          <w:p w14:paraId="6FC8C9D9">
            <w:pPr>
              <w:rPr>
                <w:rFonts w:hint="eastAsia" w:ascii="宋体" w:hAnsi="宋体" w:eastAsia="宋体" w:cs="宋体"/>
                <w:color w:val="auto"/>
                <w:sz w:val="24"/>
                <w:szCs w:val="24"/>
              </w:rPr>
            </w:pPr>
          </w:p>
        </w:tc>
        <w:tc>
          <w:tcPr>
            <w:tcW w:w="1323" w:type="dxa"/>
            <w:vAlign w:val="top"/>
          </w:tcPr>
          <w:p w14:paraId="6C97DFDA">
            <w:pPr>
              <w:rPr>
                <w:rFonts w:hint="eastAsia" w:ascii="宋体" w:hAnsi="宋体" w:eastAsia="宋体" w:cs="宋体"/>
                <w:color w:val="auto"/>
                <w:sz w:val="24"/>
                <w:szCs w:val="24"/>
              </w:rPr>
            </w:pPr>
          </w:p>
        </w:tc>
        <w:tc>
          <w:tcPr>
            <w:tcW w:w="4309" w:type="dxa"/>
            <w:vAlign w:val="top"/>
          </w:tcPr>
          <w:p w14:paraId="66726E4F">
            <w:pPr>
              <w:rPr>
                <w:rFonts w:hint="eastAsia" w:ascii="宋体" w:hAnsi="宋体" w:eastAsia="宋体" w:cs="宋体"/>
                <w:color w:val="auto"/>
                <w:sz w:val="24"/>
                <w:szCs w:val="24"/>
              </w:rPr>
            </w:pPr>
          </w:p>
        </w:tc>
      </w:tr>
      <w:tr w14:paraId="65032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bottom w:val="nil"/>
            </w:tcBorders>
            <w:vAlign w:val="top"/>
          </w:tcPr>
          <w:p w14:paraId="7DCC1C42">
            <w:pPr>
              <w:jc w:val="center"/>
              <w:rPr>
                <w:rFonts w:hint="eastAsia" w:ascii="宋体" w:hAnsi="宋体" w:eastAsia="宋体" w:cs="宋体"/>
                <w:color w:val="auto"/>
                <w:sz w:val="24"/>
                <w:szCs w:val="24"/>
              </w:rPr>
            </w:pPr>
          </w:p>
        </w:tc>
        <w:tc>
          <w:tcPr>
            <w:tcW w:w="1988" w:type="dxa"/>
            <w:vAlign w:val="top"/>
          </w:tcPr>
          <w:p w14:paraId="395C5EDC">
            <w:pPr>
              <w:pStyle w:val="15"/>
              <w:spacing w:before="71" w:line="220" w:lineRule="auto"/>
              <w:ind w:left="99"/>
              <w:rPr>
                <w:rFonts w:hint="eastAsia" w:ascii="宋体" w:hAnsi="宋体" w:eastAsia="宋体" w:cs="宋体"/>
                <w:color w:val="auto"/>
                <w:sz w:val="24"/>
                <w:szCs w:val="24"/>
              </w:rPr>
            </w:pPr>
            <w:r>
              <w:rPr>
                <w:rFonts w:hint="eastAsia" w:ascii="宋体" w:hAnsi="宋体" w:eastAsia="宋体" w:cs="宋体"/>
                <w:color w:val="auto"/>
                <w:spacing w:val="-12"/>
                <w:sz w:val="24"/>
                <w:szCs w:val="24"/>
              </w:rPr>
              <w:t>内勤</w:t>
            </w:r>
          </w:p>
        </w:tc>
        <w:tc>
          <w:tcPr>
            <w:tcW w:w="767" w:type="dxa"/>
            <w:vAlign w:val="top"/>
          </w:tcPr>
          <w:p w14:paraId="1288BFCE">
            <w:pPr>
              <w:rPr>
                <w:rFonts w:hint="eastAsia" w:ascii="宋体" w:hAnsi="宋体" w:eastAsia="宋体" w:cs="宋体"/>
                <w:color w:val="auto"/>
                <w:sz w:val="24"/>
                <w:szCs w:val="24"/>
              </w:rPr>
            </w:pPr>
          </w:p>
        </w:tc>
        <w:tc>
          <w:tcPr>
            <w:tcW w:w="1323" w:type="dxa"/>
            <w:vAlign w:val="top"/>
          </w:tcPr>
          <w:p w14:paraId="4FDCDD00">
            <w:pPr>
              <w:rPr>
                <w:rFonts w:hint="eastAsia" w:ascii="宋体" w:hAnsi="宋体" w:eastAsia="宋体" w:cs="宋体"/>
                <w:color w:val="auto"/>
                <w:sz w:val="24"/>
                <w:szCs w:val="24"/>
              </w:rPr>
            </w:pPr>
          </w:p>
        </w:tc>
        <w:tc>
          <w:tcPr>
            <w:tcW w:w="4309" w:type="dxa"/>
            <w:vAlign w:val="top"/>
          </w:tcPr>
          <w:p w14:paraId="1DB385EB">
            <w:pPr>
              <w:rPr>
                <w:rFonts w:hint="eastAsia" w:ascii="宋体" w:hAnsi="宋体" w:eastAsia="宋体" w:cs="宋体"/>
                <w:color w:val="auto"/>
                <w:sz w:val="24"/>
                <w:szCs w:val="24"/>
              </w:rPr>
            </w:pPr>
          </w:p>
        </w:tc>
      </w:tr>
      <w:tr w14:paraId="4E990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57" w:type="dxa"/>
            <w:vMerge w:val="continue"/>
            <w:tcBorders>
              <w:top w:val="nil"/>
            </w:tcBorders>
            <w:vAlign w:val="top"/>
          </w:tcPr>
          <w:p w14:paraId="5199A739">
            <w:pPr>
              <w:jc w:val="center"/>
              <w:rPr>
                <w:rFonts w:hint="eastAsia" w:ascii="宋体" w:hAnsi="宋体" w:eastAsia="宋体" w:cs="宋体"/>
                <w:color w:val="auto"/>
                <w:sz w:val="24"/>
                <w:szCs w:val="24"/>
              </w:rPr>
            </w:pPr>
          </w:p>
        </w:tc>
        <w:tc>
          <w:tcPr>
            <w:tcW w:w="1988" w:type="dxa"/>
            <w:vAlign w:val="top"/>
          </w:tcPr>
          <w:p w14:paraId="1CA0A8E4">
            <w:pPr>
              <w:pStyle w:val="15"/>
              <w:spacing w:before="7" w:line="222" w:lineRule="auto"/>
              <w:ind w:left="82" w:right="83"/>
              <w:rPr>
                <w:rFonts w:hint="eastAsia" w:ascii="宋体" w:hAnsi="宋体" w:eastAsia="宋体" w:cs="宋体"/>
                <w:color w:val="auto"/>
                <w:sz w:val="24"/>
                <w:szCs w:val="24"/>
              </w:rPr>
            </w:pPr>
            <w:r>
              <w:rPr>
                <w:rFonts w:hint="eastAsia" w:ascii="宋体" w:hAnsi="宋体" w:eastAsia="宋体" w:cs="宋体"/>
                <w:color w:val="auto"/>
                <w:spacing w:val="-1"/>
                <w:sz w:val="24"/>
                <w:szCs w:val="24"/>
              </w:rPr>
              <w:t>客服（24小时服务热</w:t>
            </w:r>
            <w:r>
              <w:rPr>
                <w:rFonts w:hint="eastAsia" w:ascii="宋体" w:hAnsi="宋体" w:eastAsia="宋体" w:cs="宋体"/>
                <w:color w:val="auto"/>
                <w:spacing w:val="-4"/>
                <w:sz w:val="24"/>
                <w:szCs w:val="24"/>
              </w:rPr>
              <w:t>线）</w:t>
            </w:r>
          </w:p>
        </w:tc>
        <w:tc>
          <w:tcPr>
            <w:tcW w:w="767" w:type="dxa"/>
            <w:vAlign w:val="top"/>
          </w:tcPr>
          <w:p w14:paraId="498C3A72">
            <w:pPr>
              <w:rPr>
                <w:rFonts w:hint="eastAsia" w:ascii="宋体" w:hAnsi="宋体" w:eastAsia="宋体" w:cs="宋体"/>
                <w:color w:val="auto"/>
                <w:sz w:val="24"/>
                <w:szCs w:val="24"/>
              </w:rPr>
            </w:pPr>
          </w:p>
        </w:tc>
        <w:tc>
          <w:tcPr>
            <w:tcW w:w="1323" w:type="dxa"/>
            <w:vAlign w:val="top"/>
          </w:tcPr>
          <w:p w14:paraId="49094FB0">
            <w:pPr>
              <w:rPr>
                <w:rFonts w:hint="eastAsia" w:ascii="宋体" w:hAnsi="宋体" w:eastAsia="宋体" w:cs="宋体"/>
                <w:color w:val="auto"/>
                <w:sz w:val="24"/>
                <w:szCs w:val="24"/>
              </w:rPr>
            </w:pPr>
          </w:p>
        </w:tc>
        <w:tc>
          <w:tcPr>
            <w:tcW w:w="4309" w:type="dxa"/>
            <w:vAlign w:val="top"/>
          </w:tcPr>
          <w:p w14:paraId="70B9F79A">
            <w:pPr>
              <w:rPr>
                <w:rFonts w:hint="eastAsia" w:ascii="宋体" w:hAnsi="宋体" w:eastAsia="宋体" w:cs="宋体"/>
                <w:color w:val="auto"/>
                <w:sz w:val="24"/>
                <w:szCs w:val="24"/>
              </w:rPr>
            </w:pPr>
          </w:p>
        </w:tc>
      </w:tr>
      <w:tr w14:paraId="126B6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restart"/>
            <w:tcBorders>
              <w:bottom w:val="nil"/>
            </w:tcBorders>
            <w:vAlign w:val="top"/>
          </w:tcPr>
          <w:p w14:paraId="40A65556">
            <w:pPr>
              <w:pStyle w:val="15"/>
              <w:spacing w:before="233" w:line="221" w:lineRule="auto"/>
              <w:ind w:left="8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房屋维护服务</w:t>
            </w:r>
          </w:p>
        </w:tc>
        <w:tc>
          <w:tcPr>
            <w:tcW w:w="1988" w:type="dxa"/>
            <w:vAlign w:val="top"/>
          </w:tcPr>
          <w:p w14:paraId="261B6DD3">
            <w:pPr>
              <w:pStyle w:val="15"/>
              <w:spacing w:before="61" w:line="221" w:lineRule="auto"/>
              <w:ind w:left="82"/>
              <w:rPr>
                <w:rFonts w:hint="eastAsia" w:ascii="宋体" w:hAnsi="宋体" w:eastAsia="宋体" w:cs="宋体"/>
                <w:color w:val="auto"/>
                <w:sz w:val="24"/>
                <w:szCs w:val="24"/>
              </w:rPr>
            </w:pPr>
            <w:r>
              <w:rPr>
                <w:rFonts w:hint="eastAsia" w:ascii="宋体" w:hAnsi="宋体" w:eastAsia="宋体" w:cs="宋体"/>
                <w:color w:val="auto"/>
                <w:spacing w:val="-4"/>
                <w:sz w:val="24"/>
                <w:szCs w:val="24"/>
              </w:rPr>
              <w:t>主管</w:t>
            </w:r>
          </w:p>
        </w:tc>
        <w:tc>
          <w:tcPr>
            <w:tcW w:w="767" w:type="dxa"/>
            <w:vAlign w:val="top"/>
          </w:tcPr>
          <w:p w14:paraId="1003D704">
            <w:pPr>
              <w:rPr>
                <w:rFonts w:hint="eastAsia" w:ascii="宋体" w:hAnsi="宋体" w:eastAsia="宋体" w:cs="宋体"/>
                <w:color w:val="auto"/>
                <w:sz w:val="24"/>
                <w:szCs w:val="24"/>
              </w:rPr>
            </w:pPr>
          </w:p>
        </w:tc>
        <w:tc>
          <w:tcPr>
            <w:tcW w:w="1323" w:type="dxa"/>
            <w:vAlign w:val="top"/>
          </w:tcPr>
          <w:p w14:paraId="5AC61C28">
            <w:pPr>
              <w:rPr>
                <w:rFonts w:hint="eastAsia" w:ascii="宋体" w:hAnsi="宋体" w:eastAsia="宋体" w:cs="宋体"/>
                <w:color w:val="auto"/>
                <w:sz w:val="24"/>
                <w:szCs w:val="24"/>
              </w:rPr>
            </w:pPr>
          </w:p>
        </w:tc>
        <w:tc>
          <w:tcPr>
            <w:tcW w:w="4309" w:type="dxa"/>
            <w:vAlign w:val="top"/>
          </w:tcPr>
          <w:p w14:paraId="187C290A">
            <w:pPr>
              <w:rPr>
                <w:rFonts w:hint="eastAsia" w:ascii="宋体" w:hAnsi="宋体" w:eastAsia="宋体" w:cs="宋体"/>
                <w:color w:val="auto"/>
                <w:sz w:val="24"/>
                <w:szCs w:val="24"/>
              </w:rPr>
            </w:pPr>
          </w:p>
        </w:tc>
      </w:tr>
      <w:tr w14:paraId="4D252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tcBorders>
            <w:vAlign w:val="top"/>
          </w:tcPr>
          <w:p w14:paraId="32BEDEA1">
            <w:pPr>
              <w:jc w:val="center"/>
              <w:rPr>
                <w:rFonts w:hint="eastAsia" w:ascii="宋体" w:hAnsi="宋体" w:eastAsia="宋体" w:cs="宋体"/>
                <w:color w:val="auto"/>
                <w:sz w:val="24"/>
                <w:szCs w:val="24"/>
              </w:rPr>
            </w:pPr>
          </w:p>
        </w:tc>
        <w:tc>
          <w:tcPr>
            <w:tcW w:w="1988" w:type="dxa"/>
            <w:vAlign w:val="top"/>
          </w:tcPr>
          <w:p w14:paraId="2A3BF516">
            <w:pPr>
              <w:pStyle w:val="15"/>
              <w:spacing w:before="72" w:line="221" w:lineRule="auto"/>
              <w:ind w:left="83"/>
              <w:rPr>
                <w:rFonts w:hint="eastAsia" w:ascii="宋体" w:hAnsi="宋体" w:eastAsia="宋体" w:cs="宋体"/>
                <w:color w:val="auto"/>
                <w:sz w:val="24"/>
                <w:szCs w:val="24"/>
              </w:rPr>
            </w:pPr>
            <w:r>
              <w:rPr>
                <w:rFonts w:hint="eastAsia" w:ascii="宋体" w:hAnsi="宋体" w:eastAsia="宋体" w:cs="宋体"/>
                <w:color w:val="auto"/>
                <w:spacing w:val="-2"/>
                <w:sz w:val="24"/>
                <w:szCs w:val="24"/>
              </w:rPr>
              <w:t>综合维修</w:t>
            </w:r>
          </w:p>
        </w:tc>
        <w:tc>
          <w:tcPr>
            <w:tcW w:w="767" w:type="dxa"/>
            <w:vAlign w:val="top"/>
          </w:tcPr>
          <w:p w14:paraId="6D7F3EBE">
            <w:pPr>
              <w:rPr>
                <w:rFonts w:hint="eastAsia" w:ascii="宋体" w:hAnsi="宋体" w:eastAsia="宋体" w:cs="宋体"/>
                <w:color w:val="auto"/>
                <w:sz w:val="24"/>
                <w:szCs w:val="24"/>
              </w:rPr>
            </w:pPr>
          </w:p>
        </w:tc>
        <w:tc>
          <w:tcPr>
            <w:tcW w:w="1323" w:type="dxa"/>
            <w:vAlign w:val="top"/>
          </w:tcPr>
          <w:p w14:paraId="73AC2C5A">
            <w:pPr>
              <w:rPr>
                <w:rFonts w:hint="eastAsia" w:ascii="宋体" w:hAnsi="宋体" w:eastAsia="宋体" w:cs="宋体"/>
                <w:color w:val="auto"/>
                <w:sz w:val="24"/>
                <w:szCs w:val="24"/>
              </w:rPr>
            </w:pPr>
          </w:p>
        </w:tc>
        <w:tc>
          <w:tcPr>
            <w:tcW w:w="4309" w:type="dxa"/>
            <w:vAlign w:val="top"/>
          </w:tcPr>
          <w:p w14:paraId="0C7568F4">
            <w:pPr>
              <w:rPr>
                <w:rFonts w:hint="eastAsia" w:ascii="宋体" w:hAnsi="宋体" w:eastAsia="宋体" w:cs="宋体"/>
                <w:color w:val="auto"/>
                <w:sz w:val="24"/>
                <w:szCs w:val="24"/>
              </w:rPr>
            </w:pPr>
          </w:p>
        </w:tc>
      </w:tr>
      <w:tr w14:paraId="39E24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restart"/>
            <w:tcBorders>
              <w:bottom w:val="nil"/>
            </w:tcBorders>
            <w:vAlign w:val="center"/>
          </w:tcPr>
          <w:p w14:paraId="5793D967">
            <w:pPr>
              <w:pStyle w:val="15"/>
              <w:spacing w:before="49" w:line="230" w:lineRule="auto"/>
              <w:ind w:right="78"/>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rPr>
              <w:t>公用设施设备</w:t>
            </w:r>
            <w:r>
              <w:rPr>
                <w:rFonts w:hint="eastAsia" w:ascii="宋体" w:hAnsi="宋体" w:eastAsia="宋体" w:cs="宋体"/>
                <w:color w:val="auto"/>
                <w:spacing w:val="-3"/>
                <w:sz w:val="24"/>
                <w:szCs w:val="24"/>
              </w:rPr>
              <w:t>维护服务</w:t>
            </w:r>
          </w:p>
        </w:tc>
        <w:tc>
          <w:tcPr>
            <w:tcW w:w="1988" w:type="dxa"/>
            <w:vAlign w:val="top"/>
          </w:tcPr>
          <w:p w14:paraId="5F907660">
            <w:pPr>
              <w:pStyle w:val="15"/>
              <w:spacing w:before="73" w:line="221" w:lineRule="auto"/>
              <w:ind w:left="82"/>
              <w:rPr>
                <w:rFonts w:hint="eastAsia" w:ascii="宋体" w:hAnsi="宋体" w:eastAsia="宋体" w:cs="宋体"/>
                <w:color w:val="auto"/>
                <w:sz w:val="24"/>
                <w:szCs w:val="24"/>
              </w:rPr>
            </w:pPr>
            <w:r>
              <w:rPr>
                <w:rFonts w:hint="eastAsia" w:ascii="宋体" w:hAnsi="宋体" w:eastAsia="宋体" w:cs="宋体"/>
                <w:color w:val="auto"/>
                <w:spacing w:val="-4"/>
                <w:sz w:val="24"/>
                <w:szCs w:val="24"/>
              </w:rPr>
              <w:t>主管</w:t>
            </w:r>
          </w:p>
        </w:tc>
        <w:tc>
          <w:tcPr>
            <w:tcW w:w="767" w:type="dxa"/>
            <w:vAlign w:val="top"/>
          </w:tcPr>
          <w:p w14:paraId="56B87288">
            <w:pPr>
              <w:rPr>
                <w:rFonts w:hint="eastAsia" w:ascii="宋体" w:hAnsi="宋体" w:eastAsia="宋体" w:cs="宋体"/>
                <w:color w:val="auto"/>
                <w:sz w:val="24"/>
                <w:szCs w:val="24"/>
              </w:rPr>
            </w:pPr>
          </w:p>
        </w:tc>
        <w:tc>
          <w:tcPr>
            <w:tcW w:w="1323" w:type="dxa"/>
            <w:vAlign w:val="top"/>
          </w:tcPr>
          <w:p w14:paraId="594FC186">
            <w:pPr>
              <w:rPr>
                <w:rFonts w:hint="eastAsia" w:ascii="宋体" w:hAnsi="宋体" w:eastAsia="宋体" w:cs="宋体"/>
                <w:color w:val="auto"/>
                <w:sz w:val="24"/>
                <w:szCs w:val="24"/>
              </w:rPr>
            </w:pPr>
          </w:p>
        </w:tc>
        <w:tc>
          <w:tcPr>
            <w:tcW w:w="4309" w:type="dxa"/>
            <w:vAlign w:val="top"/>
          </w:tcPr>
          <w:p w14:paraId="0B7E50D7">
            <w:pPr>
              <w:rPr>
                <w:rFonts w:hint="eastAsia" w:ascii="宋体" w:hAnsi="宋体" w:eastAsia="宋体" w:cs="宋体"/>
                <w:color w:val="auto"/>
                <w:sz w:val="24"/>
                <w:szCs w:val="24"/>
              </w:rPr>
            </w:pPr>
          </w:p>
        </w:tc>
      </w:tr>
      <w:tr w14:paraId="62AE2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bottom w:val="nil"/>
            </w:tcBorders>
            <w:vAlign w:val="top"/>
          </w:tcPr>
          <w:p w14:paraId="42D3CE45">
            <w:pPr>
              <w:jc w:val="center"/>
              <w:rPr>
                <w:rFonts w:hint="eastAsia" w:ascii="宋体" w:hAnsi="宋体" w:eastAsia="宋体" w:cs="宋体"/>
                <w:color w:val="auto"/>
                <w:sz w:val="24"/>
                <w:szCs w:val="24"/>
              </w:rPr>
            </w:pPr>
          </w:p>
        </w:tc>
        <w:tc>
          <w:tcPr>
            <w:tcW w:w="1988" w:type="dxa"/>
            <w:vAlign w:val="top"/>
          </w:tcPr>
          <w:p w14:paraId="7F2384DC">
            <w:pPr>
              <w:pStyle w:val="15"/>
              <w:spacing w:before="73" w:line="221" w:lineRule="auto"/>
              <w:ind w:left="84"/>
              <w:rPr>
                <w:rFonts w:hint="eastAsia" w:ascii="宋体" w:hAnsi="宋体" w:eastAsia="宋体" w:cs="宋体"/>
                <w:color w:val="auto"/>
                <w:sz w:val="24"/>
                <w:szCs w:val="24"/>
              </w:rPr>
            </w:pPr>
            <w:r>
              <w:rPr>
                <w:rFonts w:hint="eastAsia" w:ascii="宋体" w:hAnsi="宋体" w:eastAsia="宋体" w:cs="宋体"/>
                <w:color w:val="auto"/>
                <w:spacing w:val="-3"/>
                <w:sz w:val="24"/>
                <w:szCs w:val="24"/>
              </w:rPr>
              <w:t>弱电维修</w:t>
            </w:r>
          </w:p>
        </w:tc>
        <w:tc>
          <w:tcPr>
            <w:tcW w:w="767" w:type="dxa"/>
            <w:vAlign w:val="top"/>
          </w:tcPr>
          <w:p w14:paraId="6B87C836">
            <w:pPr>
              <w:rPr>
                <w:rFonts w:hint="eastAsia" w:ascii="宋体" w:hAnsi="宋体" w:eastAsia="宋体" w:cs="宋体"/>
                <w:color w:val="auto"/>
                <w:sz w:val="24"/>
                <w:szCs w:val="24"/>
              </w:rPr>
            </w:pPr>
          </w:p>
        </w:tc>
        <w:tc>
          <w:tcPr>
            <w:tcW w:w="1323" w:type="dxa"/>
            <w:vAlign w:val="top"/>
          </w:tcPr>
          <w:p w14:paraId="3B345C59">
            <w:pPr>
              <w:rPr>
                <w:rFonts w:hint="eastAsia" w:ascii="宋体" w:hAnsi="宋体" w:eastAsia="宋体" w:cs="宋体"/>
                <w:color w:val="auto"/>
                <w:sz w:val="24"/>
                <w:szCs w:val="24"/>
              </w:rPr>
            </w:pPr>
          </w:p>
        </w:tc>
        <w:tc>
          <w:tcPr>
            <w:tcW w:w="4309" w:type="dxa"/>
            <w:vAlign w:val="top"/>
          </w:tcPr>
          <w:p w14:paraId="11C6DE68">
            <w:pPr>
              <w:rPr>
                <w:rFonts w:hint="eastAsia" w:ascii="宋体" w:hAnsi="宋体" w:eastAsia="宋体" w:cs="宋体"/>
                <w:color w:val="auto"/>
                <w:sz w:val="24"/>
                <w:szCs w:val="24"/>
              </w:rPr>
            </w:pPr>
          </w:p>
        </w:tc>
      </w:tr>
      <w:tr w14:paraId="3E604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top"/>
          </w:tcPr>
          <w:p w14:paraId="6CEDC2A5">
            <w:pPr>
              <w:jc w:val="center"/>
              <w:rPr>
                <w:rFonts w:hint="eastAsia" w:ascii="宋体" w:hAnsi="宋体" w:eastAsia="宋体" w:cs="宋体"/>
                <w:color w:val="auto"/>
                <w:sz w:val="24"/>
                <w:szCs w:val="24"/>
              </w:rPr>
            </w:pPr>
          </w:p>
        </w:tc>
        <w:tc>
          <w:tcPr>
            <w:tcW w:w="1988" w:type="dxa"/>
            <w:vAlign w:val="top"/>
          </w:tcPr>
          <w:p w14:paraId="6F3D077A">
            <w:pPr>
              <w:pStyle w:val="15"/>
              <w:spacing w:before="74" w:line="221" w:lineRule="auto"/>
              <w:ind w:left="85"/>
              <w:rPr>
                <w:rFonts w:hint="eastAsia" w:ascii="宋体" w:hAnsi="宋体" w:eastAsia="宋体" w:cs="宋体"/>
                <w:color w:val="auto"/>
                <w:sz w:val="24"/>
                <w:szCs w:val="24"/>
              </w:rPr>
            </w:pPr>
            <w:r>
              <w:rPr>
                <w:rFonts w:hint="eastAsia" w:ascii="宋体" w:hAnsi="宋体" w:eastAsia="宋体" w:cs="宋体"/>
                <w:color w:val="auto"/>
                <w:spacing w:val="-4"/>
                <w:sz w:val="24"/>
                <w:szCs w:val="24"/>
              </w:rPr>
              <w:t>高配工</w:t>
            </w:r>
          </w:p>
        </w:tc>
        <w:tc>
          <w:tcPr>
            <w:tcW w:w="767" w:type="dxa"/>
            <w:vAlign w:val="top"/>
          </w:tcPr>
          <w:p w14:paraId="50576985">
            <w:pPr>
              <w:rPr>
                <w:rFonts w:hint="eastAsia" w:ascii="宋体" w:hAnsi="宋体" w:eastAsia="宋体" w:cs="宋体"/>
                <w:color w:val="auto"/>
                <w:sz w:val="24"/>
                <w:szCs w:val="24"/>
              </w:rPr>
            </w:pPr>
          </w:p>
        </w:tc>
        <w:tc>
          <w:tcPr>
            <w:tcW w:w="1323" w:type="dxa"/>
            <w:vAlign w:val="top"/>
          </w:tcPr>
          <w:p w14:paraId="3F451B47">
            <w:pPr>
              <w:rPr>
                <w:rFonts w:hint="eastAsia" w:ascii="宋体" w:hAnsi="宋体" w:eastAsia="宋体" w:cs="宋体"/>
                <w:color w:val="auto"/>
                <w:sz w:val="24"/>
                <w:szCs w:val="24"/>
              </w:rPr>
            </w:pPr>
          </w:p>
        </w:tc>
        <w:tc>
          <w:tcPr>
            <w:tcW w:w="4309" w:type="dxa"/>
            <w:vAlign w:val="top"/>
          </w:tcPr>
          <w:p w14:paraId="4F88FD07">
            <w:pPr>
              <w:pStyle w:val="15"/>
              <w:spacing w:before="74" w:line="221" w:lineRule="auto"/>
              <w:ind w:left="82"/>
              <w:rPr>
                <w:rFonts w:hint="eastAsia" w:ascii="宋体" w:hAnsi="宋体" w:eastAsia="宋体" w:cs="宋体"/>
                <w:color w:val="auto"/>
                <w:sz w:val="24"/>
                <w:szCs w:val="24"/>
              </w:rPr>
            </w:pPr>
            <w:r>
              <w:rPr>
                <w:rFonts w:hint="eastAsia" w:ascii="宋体" w:hAnsi="宋体" w:eastAsia="宋体" w:cs="宋体"/>
                <w:color w:val="auto"/>
                <w:spacing w:val="-1"/>
                <w:sz w:val="24"/>
                <w:szCs w:val="24"/>
              </w:rPr>
              <w:t>如：特种作业操作证（高压电工作业）</w:t>
            </w:r>
          </w:p>
        </w:tc>
      </w:tr>
      <w:tr w14:paraId="4A0AE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top"/>
          </w:tcPr>
          <w:p w14:paraId="5783E53A">
            <w:pPr>
              <w:jc w:val="center"/>
              <w:rPr>
                <w:rFonts w:hint="eastAsia" w:ascii="宋体" w:hAnsi="宋体" w:eastAsia="宋体" w:cs="宋体"/>
                <w:color w:val="auto"/>
                <w:sz w:val="24"/>
                <w:szCs w:val="24"/>
              </w:rPr>
            </w:pPr>
          </w:p>
        </w:tc>
        <w:tc>
          <w:tcPr>
            <w:tcW w:w="1988" w:type="dxa"/>
            <w:vAlign w:val="top"/>
          </w:tcPr>
          <w:p w14:paraId="005B8D42">
            <w:pPr>
              <w:pStyle w:val="15"/>
              <w:spacing w:before="74" w:line="221" w:lineRule="auto"/>
              <w:ind w:left="83"/>
              <w:rPr>
                <w:rFonts w:hint="eastAsia" w:ascii="宋体" w:hAnsi="宋体" w:eastAsia="宋体" w:cs="宋体"/>
                <w:color w:val="auto"/>
                <w:sz w:val="24"/>
                <w:szCs w:val="24"/>
              </w:rPr>
            </w:pPr>
            <w:r>
              <w:rPr>
                <w:rFonts w:hint="eastAsia" w:ascii="宋体" w:hAnsi="宋体" w:eastAsia="宋体" w:cs="宋体"/>
                <w:color w:val="auto"/>
                <w:spacing w:val="-3"/>
                <w:sz w:val="24"/>
                <w:szCs w:val="24"/>
              </w:rPr>
              <w:t>水电工</w:t>
            </w:r>
          </w:p>
        </w:tc>
        <w:tc>
          <w:tcPr>
            <w:tcW w:w="767" w:type="dxa"/>
            <w:vAlign w:val="top"/>
          </w:tcPr>
          <w:p w14:paraId="60967BD2">
            <w:pPr>
              <w:rPr>
                <w:rFonts w:hint="eastAsia" w:ascii="宋体" w:hAnsi="宋体" w:eastAsia="宋体" w:cs="宋体"/>
                <w:color w:val="auto"/>
                <w:sz w:val="24"/>
                <w:szCs w:val="24"/>
              </w:rPr>
            </w:pPr>
          </w:p>
        </w:tc>
        <w:tc>
          <w:tcPr>
            <w:tcW w:w="1323" w:type="dxa"/>
            <w:vAlign w:val="top"/>
          </w:tcPr>
          <w:p w14:paraId="764FEEDD">
            <w:pPr>
              <w:rPr>
                <w:rFonts w:hint="eastAsia" w:ascii="宋体" w:hAnsi="宋体" w:eastAsia="宋体" w:cs="宋体"/>
                <w:color w:val="auto"/>
                <w:sz w:val="24"/>
                <w:szCs w:val="24"/>
              </w:rPr>
            </w:pPr>
          </w:p>
        </w:tc>
        <w:tc>
          <w:tcPr>
            <w:tcW w:w="4309" w:type="dxa"/>
            <w:vAlign w:val="top"/>
          </w:tcPr>
          <w:p w14:paraId="5952F327">
            <w:pPr>
              <w:pStyle w:val="15"/>
              <w:spacing w:before="74" w:line="221" w:lineRule="auto"/>
              <w:ind w:left="82"/>
              <w:rPr>
                <w:rFonts w:hint="eastAsia" w:ascii="宋体" w:hAnsi="宋体" w:eastAsia="宋体" w:cs="宋体"/>
                <w:color w:val="auto"/>
                <w:sz w:val="24"/>
                <w:szCs w:val="24"/>
              </w:rPr>
            </w:pPr>
            <w:r>
              <w:rPr>
                <w:rFonts w:hint="eastAsia" w:ascii="宋体" w:hAnsi="宋体" w:eastAsia="宋体" w:cs="宋体"/>
                <w:color w:val="auto"/>
                <w:spacing w:val="-1"/>
                <w:sz w:val="24"/>
                <w:szCs w:val="24"/>
              </w:rPr>
              <w:t>如：特种作业操作证（低压电工作业）</w:t>
            </w:r>
          </w:p>
        </w:tc>
      </w:tr>
      <w:tr w14:paraId="11B36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top"/>
          </w:tcPr>
          <w:p w14:paraId="2CB881F5">
            <w:pPr>
              <w:jc w:val="center"/>
              <w:rPr>
                <w:rFonts w:hint="eastAsia" w:ascii="宋体" w:hAnsi="宋体" w:eastAsia="宋体" w:cs="宋体"/>
                <w:color w:val="auto"/>
                <w:sz w:val="24"/>
                <w:szCs w:val="24"/>
              </w:rPr>
            </w:pPr>
          </w:p>
        </w:tc>
        <w:tc>
          <w:tcPr>
            <w:tcW w:w="1988" w:type="dxa"/>
            <w:vAlign w:val="top"/>
          </w:tcPr>
          <w:p w14:paraId="333E9118">
            <w:pPr>
              <w:pStyle w:val="15"/>
              <w:spacing w:before="75" w:line="221" w:lineRule="auto"/>
              <w:ind w:left="87"/>
              <w:rPr>
                <w:rFonts w:hint="eastAsia" w:ascii="宋体" w:hAnsi="宋体" w:eastAsia="宋体" w:cs="宋体"/>
                <w:color w:val="auto"/>
                <w:sz w:val="24"/>
                <w:szCs w:val="24"/>
              </w:rPr>
            </w:pPr>
            <w:r>
              <w:rPr>
                <w:rFonts w:hint="eastAsia" w:ascii="宋体" w:hAnsi="宋体" w:eastAsia="宋体" w:cs="宋体"/>
                <w:color w:val="auto"/>
                <w:spacing w:val="-4"/>
                <w:sz w:val="24"/>
                <w:szCs w:val="24"/>
              </w:rPr>
              <w:t>暖通工</w:t>
            </w:r>
          </w:p>
        </w:tc>
        <w:tc>
          <w:tcPr>
            <w:tcW w:w="767" w:type="dxa"/>
            <w:vAlign w:val="top"/>
          </w:tcPr>
          <w:p w14:paraId="03BCEFEE">
            <w:pPr>
              <w:rPr>
                <w:rFonts w:hint="eastAsia" w:ascii="宋体" w:hAnsi="宋体" w:eastAsia="宋体" w:cs="宋体"/>
                <w:color w:val="auto"/>
                <w:sz w:val="24"/>
                <w:szCs w:val="24"/>
              </w:rPr>
            </w:pPr>
          </w:p>
        </w:tc>
        <w:tc>
          <w:tcPr>
            <w:tcW w:w="1323" w:type="dxa"/>
            <w:vAlign w:val="top"/>
          </w:tcPr>
          <w:p w14:paraId="0EEABBF5">
            <w:pPr>
              <w:rPr>
                <w:rFonts w:hint="eastAsia" w:ascii="宋体" w:hAnsi="宋体" w:eastAsia="宋体" w:cs="宋体"/>
                <w:color w:val="auto"/>
                <w:sz w:val="24"/>
                <w:szCs w:val="24"/>
              </w:rPr>
            </w:pPr>
          </w:p>
        </w:tc>
        <w:tc>
          <w:tcPr>
            <w:tcW w:w="4309" w:type="dxa"/>
            <w:vAlign w:val="top"/>
          </w:tcPr>
          <w:p w14:paraId="1D92C773">
            <w:pPr>
              <w:rPr>
                <w:rFonts w:hint="eastAsia" w:ascii="宋体" w:hAnsi="宋体" w:eastAsia="宋体" w:cs="宋体"/>
                <w:color w:val="auto"/>
                <w:sz w:val="24"/>
                <w:szCs w:val="24"/>
              </w:rPr>
            </w:pPr>
          </w:p>
        </w:tc>
      </w:tr>
      <w:tr w14:paraId="2C194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bottom w:val="nil"/>
            </w:tcBorders>
            <w:vAlign w:val="top"/>
          </w:tcPr>
          <w:p w14:paraId="53B6CDFF">
            <w:pPr>
              <w:jc w:val="center"/>
              <w:rPr>
                <w:rFonts w:hint="eastAsia" w:ascii="宋体" w:hAnsi="宋体" w:eastAsia="宋体" w:cs="宋体"/>
                <w:color w:val="auto"/>
                <w:sz w:val="24"/>
                <w:szCs w:val="24"/>
              </w:rPr>
            </w:pPr>
          </w:p>
        </w:tc>
        <w:tc>
          <w:tcPr>
            <w:tcW w:w="1988" w:type="dxa"/>
            <w:vAlign w:val="top"/>
          </w:tcPr>
          <w:p w14:paraId="62BF6F2D">
            <w:pPr>
              <w:pStyle w:val="15"/>
              <w:spacing w:before="76" w:line="221" w:lineRule="auto"/>
              <w:ind w:left="81"/>
              <w:rPr>
                <w:rFonts w:hint="eastAsia" w:ascii="宋体" w:hAnsi="宋体" w:eastAsia="宋体" w:cs="宋体"/>
                <w:color w:val="auto"/>
                <w:sz w:val="24"/>
                <w:szCs w:val="24"/>
              </w:rPr>
            </w:pPr>
            <w:r>
              <w:rPr>
                <w:rFonts w:hint="eastAsia" w:ascii="宋体" w:hAnsi="宋体" w:eastAsia="宋体" w:cs="宋体"/>
                <w:color w:val="auto"/>
                <w:spacing w:val="-2"/>
                <w:sz w:val="24"/>
                <w:szCs w:val="24"/>
              </w:rPr>
              <w:t>锅炉工</w:t>
            </w:r>
          </w:p>
        </w:tc>
        <w:tc>
          <w:tcPr>
            <w:tcW w:w="767" w:type="dxa"/>
            <w:vAlign w:val="top"/>
          </w:tcPr>
          <w:p w14:paraId="335FCE3D">
            <w:pPr>
              <w:rPr>
                <w:rFonts w:hint="eastAsia" w:ascii="宋体" w:hAnsi="宋体" w:eastAsia="宋体" w:cs="宋体"/>
                <w:color w:val="auto"/>
                <w:sz w:val="24"/>
                <w:szCs w:val="24"/>
              </w:rPr>
            </w:pPr>
          </w:p>
        </w:tc>
        <w:tc>
          <w:tcPr>
            <w:tcW w:w="1323" w:type="dxa"/>
            <w:vAlign w:val="top"/>
          </w:tcPr>
          <w:p w14:paraId="353EF2AB">
            <w:pPr>
              <w:rPr>
                <w:rFonts w:hint="eastAsia" w:ascii="宋体" w:hAnsi="宋体" w:eastAsia="宋体" w:cs="宋体"/>
                <w:color w:val="auto"/>
                <w:sz w:val="24"/>
                <w:szCs w:val="24"/>
              </w:rPr>
            </w:pPr>
          </w:p>
        </w:tc>
        <w:tc>
          <w:tcPr>
            <w:tcW w:w="4309" w:type="dxa"/>
            <w:vAlign w:val="top"/>
          </w:tcPr>
          <w:p w14:paraId="5C14BF24">
            <w:pPr>
              <w:pStyle w:val="15"/>
              <w:spacing w:before="75" w:line="221" w:lineRule="auto"/>
              <w:ind w:left="82"/>
              <w:rPr>
                <w:rFonts w:hint="eastAsia" w:ascii="宋体" w:hAnsi="宋体" w:eastAsia="宋体" w:cs="宋体"/>
                <w:color w:val="auto"/>
                <w:sz w:val="24"/>
                <w:szCs w:val="24"/>
              </w:rPr>
            </w:pPr>
            <w:r>
              <w:rPr>
                <w:rFonts w:hint="eastAsia" w:ascii="宋体" w:hAnsi="宋体" w:eastAsia="宋体" w:cs="宋体"/>
                <w:color w:val="auto"/>
                <w:spacing w:val="-1"/>
                <w:sz w:val="24"/>
                <w:szCs w:val="24"/>
              </w:rPr>
              <w:t>如：特种设备作业人员证（锅炉）</w:t>
            </w:r>
          </w:p>
        </w:tc>
      </w:tr>
      <w:tr w14:paraId="4BD2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657" w:type="dxa"/>
            <w:vMerge w:val="continue"/>
            <w:tcBorders>
              <w:top w:val="nil"/>
            </w:tcBorders>
            <w:vAlign w:val="top"/>
          </w:tcPr>
          <w:p w14:paraId="50B40589">
            <w:pPr>
              <w:jc w:val="center"/>
              <w:rPr>
                <w:rFonts w:hint="eastAsia" w:ascii="宋体" w:hAnsi="宋体" w:eastAsia="宋体" w:cs="宋体"/>
                <w:color w:val="auto"/>
                <w:sz w:val="24"/>
                <w:szCs w:val="24"/>
              </w:rPr>
            </w:pPr>
          </w:p>
        </w:tc>
        <w:tc>
          <w:tcPr>
            <w:tcW w:w="1988" w:type="dxa"/>
            <w:vAlign w:val="top"/>
          </w:tcPr>
          <w:p w14:paraId="73E49C42">
            <w:pPr>
              <w:pStyle w:val="15"/>
              <w:spacing w:before="76" w:line="221" w:lineRule="auto"/>
              <w:ind w:left="99"/>
              <w:rPr>
                <w:rFonts w:hint="eastAsia" w:ascii="宋体" w:hAnsi="宋体" w:eastAsia="宋体" w:cs="宋体"/>
                <w:color w:val="auto"/>
                <w:sz w:val="24"/>
                <w:szCs w:val="24"/>
              </w:rPr>
            </w:pPr>
            <w:r>
              <w:rPr>
                <w:rFonts w:hint="eastAsia" w:ascii="宋体" w:hAnsi="宋体" w:eastAsia="宋体" w:cs="宋体"/>
                <w:color w:val="auto"/>
                <w:spacing w:val="-8"/>
                <w:sz w:val="24"/>
                <w:szCs w:val="24"/>
              </w:rPr>
              <w:t>电梯工</w:t>
            </w:r>
          </w:p>
        </w:tc>
        <w:tc>
          <w:tcPr>
            <w:tcW w:w="767" w:type="dxa"/>
            <w:vAlign w:val="top"/>
          </w:tcPr>
          <w:p w14:paraId="30DC8556">
            <w:pPr>
              <w:rPr>
                <w:rFonts w:hint="eastAsia" w:ascii="宋体" w:hAnsi="宋体" w:eastAsia="宋体" w:cs="宋体"/>
                <w:color w:val="auto"/>
                <w:sz w:val="24"/>
                <w:szCs w:val="24"/>
              </w:rPr>
            </w:pPr>
          </w:p>
        </w:tc>
        <w:tc>
          <w:tcPr>
            <w:tcW w:w="1323" w:type="dxa"/>
            <w:vAlign w:val="top"/>
          </w:tcPr>
          <w:p w14:paraId="5F1379EE">
            <w:pPr>
              <w:rPr>
                <w:rFonts w:hint="eastAsia" w:ascii="宋体" w:hAnsi="宋体" w:eastAsia="宋体" w:cs="宋体"/>
                <w:color w:val="auto"/>
                <w:sz w:val="24"/>
                <w:szCs w:val="24"/>
              </w:rPr>
            </w:pPr>
          </w:p>
        </w:tc>
        <w:tc>
          <w:tcPr>
            <w:tcW w:w="4309" w:type="dxa"/>
            <w:vAlign w:val="top"/>
          </w:tcPr>
          <w:p w14:paraId="6B8C0876">
            <w:pPr>
              <w:rPr>
                <w:rFonts w:hint="eastAsia" w:ascii="宋体" w:hAnsi="宋体" w:eastAsia="宋体" w:cs="宋体"/>
                <w:color w:val="auto"/>
                <w:sz w:val="24"/>
                <w:szCs w:val="24"/>
              </w:rPr>
            </w:pPr>
          </w:p>
        </w:tc>
      </w:tr>
      <w:tr w14:paraId="4C9CE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restart"/>
            <w:tcBorders>
              <w:bottom w:val="nil"/>
            </w:tcBorders>
            <w:vAlign w:val="center"/>
          </w:tcPr>
          <w:p w14:paraId="4281A91F">
            <w:pPr>
              <w:pStyle w:val="15"/>
              <w:spacing w:before="49" w:line="221"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保洁服务</w:t>
            </w:r>
          </w:p>
        </w:tc>
        <w:tc>
          <w:tcPr>
            <w:tcW w:w="1988" w:type="dxa"/>
            <w:vAlign w:val="top"/>
          </w:tcPr>
          <w:p w14:paraId="349CBF0E">
            <w:pPr>
              <w:pStyle w:val="15"/>
              <w:spacing w:before="76" w:line="221" w:lineRule="auto"/>
              <w:ind w:left="82"/>
              <w:rPr>
                <w:rFonts w:hint="eastAsia" w:ascii="宋体" w:hAnsi="宋体" w:eastAsia="宋体" w:cs="宋体"/>
                <w:color w:val="auto"/>
                <w:sz w:val="24"/>
                <w:szCs w:val="24"/>
              </w:rPr>
            </w:pPr>
            <w:r>
              <w:rPr>
                <w:rFonts w:hint="eastAsia" w:ascii="宋体" w:hAnsi="宋体" w:eastAsia="宋体" w:cs="宋体"/>
                <w:color w:val="auto"/>
                <w:spacing w:val="-4"/>
                <w:sz w:val="24"/>
                <w:szCs w:val="24"/>
              </w:rPr>
              <w:t>主管</w:t>
            </w:r>
          </w:p>
        </w:tc>
        <w:tc>
          <w:tcPr>
            <w:tcW w:w="767" w:type="dxa"/>
            <w:vAlign w:val="top"/>
          </w:tcPr>
          <w:p w14:paraId="060F6D8A">
            <w:pPr>
              <w:rPr>
                <w:rFonts w:hint="eastAsia" w:ascii="宋体" w:hAnsi="宋体" w:eastAsia="宋体" w:cs="宋体"/>
                <w:color w:val="auto"/>
                <w:sz w:val="24"/>
                <w:szCs w:val="24"/>
              </w:rPr>
            </w:pPr>
          </w:p>
        </w:tc>
        <w:tc>
          <w:tcPr>
            <w:tcW w:w="1323" w:type="dxa"/>
            <w:vAlign w:val="top"/>
          </w:tcPr>
          <w:p w14:paraId="41D86BA9">
            <w:pPr>
              <w:rPr>
                <w:rFonts w:hint="eastAsia" w:ascii="宋体" w:hAnsi="宋体" w:eastAsia="宋体" w:cs="宋体"/>
                <w:color w:val="auto"/>
                <w:sz w:val="24"/>
                <w:szCs w:val="24"/>
              </w:rPr>
            </w:pPr>
          </w:p>
        </w:tc>
        <w:tc>
          <w:tcPr>
            <w:tcW w:w="4309" w:type="dxa"/>
            <w:vAlign w:val="top"/>
          </w:tcPr>
          <w:p w14:paraId="00D674C1">
            <w:pPr>
              <w:rPr>
                <w:rFonts w:hint="eastAsia" w:ascii="宋体" w:hAnsi="宋体" w:eastAsia="宋体" w:cs="宋体"/>
                <w:color w:val="auto"/>
                <w:sz w:val="24"/>
                <w:szCs w:val="24"/>
              </w:rPr>
            </w:pPr>
          </w:p>
        </w:tc>
      </w:tr>
      <w:tr w14:paraId="03F2F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center"/>
          </w:tcPr>
          <w:p w14:paraId="04288389">
            <w:pPr>
              <w:jc w:val="center"/>
              <w:rPr>
                <w:rFonts w:hint="eastAsia" w:ascii="宋体" w:hAnsi="宋体" w:eastAsia="宋体" w:cs="宋体"/>
                <w:color w:val="auto"/>
                <w:sz w:val="24"/>
                <w:szCs w:val="24"/>
              </w:rPr>
            </w:pPr>
          </w:p>
        </w:tc>
        <w:tc>
          <w:tcPr>
            <w:tcW w:w="1988" w:type="dxa"/>
            <w:vAlign w:val="top"/>
          </w:tcPr>
          <w:p w14:paraId="4506DA1A">
            <w:pPr>
              <w:pStyle w:val="15"/>
              <w:spacing w:before="77"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保洁员</w:t>
            </w:r>
          </w:p>
        </w:tc>
        <w:tc>
          <w:tcPr>
            <w:tcW w:w="767" w:type="dxa"/>
            <w:vAlign w:val="top"/>
          </w:tcPr>
          <w:p w14:paraId="6EA36D04">
            <w:pPr>
              <w:rPr>
                <w:rFonts w:hint="eastAsia" w:ascii="宋体" w:hAnsi="宋体" w:eastAsia="宋体" w:cs="宋体"/>
                <w:color w:val="auto"/>
                <w:sz w:val="24"/>
                <w:szCs w:val="24"/>
              </w:rPr>
            </w:pPr>
          </w:p>
        </w:tc>
        <w:tc>
          <w:tcPr>
            <w:tcW w:w="1323" w:type="dxa"/>
            <w:vAlign w:val="top"/>
          </w:tcPr>
          <w:p w14:paraId="1B3F811B">
            <w:pPr>
              <w:rPr>
                <w:rFonts w:hint="eastAsia" w:ascii="宋体" w:hAnsi="宋体" w:eastAsia="宋体" w:cs="宋体"/>
                <w:color w:val="auto"/>
                <w:sz w:val="24"/>
                <w:szCs w:val="24"/>
              </w:rPr>
            </w:pPr>
          </w:p>
        </w:tc>
        <w:tc>
          <w:tcPr>
            <w:tcW w:w="4309" w:type="dxa"/>
            <w:vAlign w:val="top"/>
          </w:tcPr>
          <w:p w14:paraId="39962FB9">
            <w:pPr>
              <w:rPr>
                <w:rFonts w:hint="eastAsia" w:ascii="宋体" w:hAnsi="宋体" w:eastAsia="宋体" w:cs="宋体"/>
                <w:color w:val="auto"/>
                <w:sz w:val="24"/>
                <w:szCs w:val="24"/>
              </w:rPr>
            </w:pPr>
          </w:p>
        </w:tc>
      </w:tr>
      <w:tr w14:paraId="03CAB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tcBorders>
            <w:vAlign w:val="center"/>
          </w:tcPr>
          <w:p w14:paraId="6C03DAAB">
            <w:pPr>
              <w:jc w:val="center"/>
              <w:rPr>
                <w:rFonts w:hint="eastAsia" w:ascii="宋体" w:hAnsi="宋体" w:eastAsia="宋体" w:cs="宋体"/>
                <w:color w:val="auto"/>
                <w:sz w:val="24"/>
                <w:szCs w:val="24"/>
              </w:rPr>
            </w:pPr>
          </w:p>
        </w:tc>
        <w:tc>
          <w:tcPr>
            <w:tcW w:w="1988" w:type="dxa"/>
            <w:vAlign w:val="top"/>
          </w:tcPr>
          <w:p w14:paraId="46848A41">
            <w:pPr>
              <w:pStyle w:val="15"/>
              <w:spacing w:before="78"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垃圾清运工</w:t>
            </w:r>
          </w:p>
        </w:tc>
        <w:tc>
          <w:tcPr>
            <w:tcW w:w="767" w:type="dxa"/>
            <w:vAlign w:val="top"/>
          </w:tcPr>
          <w:p w14:paraId="7BC990BE">
            <w:pPr>
              <w:rPr>
                <w:rFonts w:hint="eastAsia" w:ascii="宋体" w:hAnsi="宋体" w:eastAsia="宋体" w:cs="宋体"/>
                <w:color w:val="auto"/>
                <w:sz w:val="24"/>
                <w:szCs w:val="24"/>
              </w:rPr>
            </w:pPr>
          </w:p>
        </w:tc>
        <w:tc>
          <w:tcPr>
            <w:tcW w:w="1323" w:type="dxa"/>
            <w:vAlign w:val="top"/>
          </w:tcPr>
          <w:p w14:paraId="22B75722">
            <w:pPr>
              <w:rPr>
                <w:rFonts w:hint="eastAsia" w:ascii="宋体" w:hAnsi="宋体" w:eastAsia="宋体" w:cs="宋体"/>
                <w:color w:val="auto"/>
                <w:sz w:val="24"/>
                <w:szCs w:val="24"/>
              </w:rPr>
            </w:pPr>
          </w:p>
        </w:tc>
        <w:tc>
          <w:tcPr>
            <w:tcW w:w="4309" w:type="dxa"/>
            <w:vAlign w:val="top"/>
          </w:tcPr>
          <w:p w14:paraId="1D4B5B25">
            <w:pPr>
              <w:rPr>
                <w:rFonts w:hint="eastAsia" w:ascii="宋体" w:hAnsi="宋体" w:eastAsia="宋体" w:cs="宋体"/>
                <w:color w:val="auto"/>
                <w:sz w:val="24"/>
                <w:szCs w:val="24"/>
              </w:rPr>
            </w:pPr>
          </w:p>
        </w:tc>
      </w:tr>
      <w:tr w14:paraId="20CF0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Align w:val="center"/>
          </w:tcPr>
          <w:p w14:paraId="79D84857">
            <w:pPr>
              <w:pStyle w:val="15"/>
              <w:spacing w:before="78" w:line="221" w:lineRule="auto"/>
              <w:ind w:left="85"/>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绿化服务</w:t>
            </w:r>
          </w:p>
        </w:tc>
        <w:tc>
          <w:tcPr>
            <w:tcW w:w="1988" w:type="dxa"/>
            <w:vAlign w:val="top"/>
          </w:tcPr>
          <w:p w14:paraId="799B2BEB">
            <w:pPr>
              <w:pStyle w:val="15"/>
              <w:spacing w:before="78" w:line="222" w:lineRule="auto"/>
              <w:ind w:left="82"/>
              <w:rPr>
                <w:rFonts w:hint="eastAsia" w:ascii="宋体" w:hAnsi="宋体" w:eastAsia="宋体" w:cs="宋体"/>
                <w:color w:val="auto"/>
                <w:sz w:val="24"/>
                <w:szCs w:val="24"/>
              </w:rPr>
            </w:pPr>
            <w:r>
              <w:rPr>
                <w:rFonts w:hint="eastAsia" w:ascii="宋体" w:hAnsi="宋体" w:eastAsia="宋体" w:cs="宋体"/>
                <w:color w:val="auto"/>
                <w:spacing w:val="-3"/>
                <w:sz w:val="24"/>
                <w:szCs w:val="24"/>
              </w:rPr>
              <w:t>绿化工</w:t>
            </w:r>
          </w:p>
        </w:tc>
        <w:tc>
          <w:tcPr>
            <w:tcW w:w="767" w:type="dxa"/>
            <w:vAlign w:val="top"/>
          </w:tcPr>
          <w:p w14:paraId="4525CE38">
            <w:pPr>
              <w:rPr>
                <w:rFonts w:hint="eastAsia" w:ascii="宋体" w:hAnsi="宋体" w:eastAsia="宋体" w:cs="宋体"/>
                <w:color w:val="auto"/>
                <w:sz w:val="24"/>
                <w:szCs w:val="24"/>
              </w:rPr>
            </w:pPr>
          </w:p>
        </w:tc>
        <w:tc>
          <w:tcPr>
            <w:tcW w:w="1323" w:type="dxa"/>
            <w:vAlign w:val="top"/>
          </w:tcPr>
          <w:p w14:paraId="754C61BC">
            <w:pPr>
              <w:rPr>
                <w:rFonts w:hint="eastAsia" w:ascii="宋体" w:hAnsi="宋体" w:eastAsia="宋体" w:cs="宋体"/>
                <w:color w:val="auto"/>
                <w:sz w:val="24"/>
                <w:szCs w:val="24"/>
              </w:rPr>
            </w:pPr>
          </w:p>
        </w:tc>
        <w:tc>
          <w:tcPr>
            <w:tcW w:w="4309" w:type="dxa"/>
            <w:vAlign w:val="top"/>
          </w:tcPr>
          <w:p w14:paraId="09780B55">
            <w:pPr>
              <w:rPr>
                <w:rFonts w:hint="eastAsia" w:ascii="宋体" w:hAnsi="宋体" w:eastAsia="宋体" w:cs="宋体"/>
                <w:color w:val="auto"/>
                <w:sz w:val="24"/>
                <w:szCs w:val="24"/>
              </w:rPr>
            </w:pPr>
          </w:p>
        </w:tc>
      </w:tr>
      <w:tr w14:paraId="0EDA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restart"/>
            <w:tcBorders>
              <w:bottom w:val="nil"/>
            </w:tcBorders>
            <w:vAlign w:val="center"/>
          </w:tcPr>
          <w:p w14:paraId="6EA49286">
            <w:pPr>
              <w:pStyle w:val="15"/>
              <w:spacing w:before="49" w:line="221" w:lineRule="auto"/>
              <w:jc w:val="center"/>
              <w:rPr>
                <w:rFonts w:hint="eastAsia" w:ascii="宋体" w:hAnsi="宋体" w:eastAsia="宋体" w:cs="宋体"/>
                <w:color w:val="auto"/>
                <w:sz w:val="24"/>
                <w:szCs w:val="24"/>
              </w:rPr>
            </w:pPr>
            <w:r>
              <w:rPr>
                <w:rFonts w:hint="eastAsia" w:cs="宋体"/>
                <w:color w:val="auto"/>
                <w:spacing w:val="-2"/>
                <w:sz w:val="24"/>
                <w:szCs w:val="24"/>
                <w:lang w:val="en-US" w:eastAsia="zh-CN"/>
              </w:rPr>
              <w:t>秩序维护</w:t>
            </w:r>
            <w:r>
              <w:rPr>
                <w:rFonts w:hint="eastAsia" w:ascii="宋体" w:hAnsi="宋体" w:eastAsia="宋体" w:cs="宋体"/>
                <w:color w:val="auto"/>
                <w:spacing w:val="-2"/>
                <w:sz w:val="24"/>
                <w:szCs w:val="24"/>
              </w:rPr>
              <w:t>服务</w:t>
            </w:r>
          </w:p>
        </w:tc>
        <w:tc>
          <w:tcPr>
            <w:tcW w:w="1988" w:type="dxa"/>
            <w:vAlign w:val="top"/>
          </w:tcPr>
          <w:p w14:paraId="2F4B0343">
            <w:pPr>
              <w:pStyle w:val="15"/>
              <w:spacing w:before="78" w:line="221" w:lineRule="auto"/>
              <w:ind w:left="82"/>
              <w:rPr>
                <w:rFonts w:hint="eastAsia" w:ascii="宋体" w:hAnsi="宋体" w:eastAsia="宋体" w:cs="宋体"/>
                <w:color w:val="auto"/>
                <w:sz w:val="24"/>
                <w:szCs w:val="24"/>
              </w:rPr>
            </w:pPr>
            <w:r>
              <w:rPr>
                <w:rFonts w:hint="eastAsia" w:ascii="宋体" w:hAnsi="宋体" w:eastAsia="宋体" w:cs="宋体"/>
                <w:color w:val="auto"/>
                <w:spacing w:val="-4"/>
                <w:sz w:val="24"/>
                <w:szCs w:val="24"/>
              </w:rPr>
              <w:t>主管</w:t>
            </w:r>
          </w:p>
        </w:tc>
        <w:tc>
          <w:tcPr>
            <w:tcW w:w="767" w:type="dxa"/>
            <w:vAlign w:val="top"/>
          </w:tcPr>
          <w:p w14:paraId="3D4488BE">
            <w:pPr>
              <w:rPr>
                <w:rFonts w:hint="eastAsia" w:ascii="宋体" w:hAnsi="宋体" w:eastAsia="宋体" w:cs="宋体"/>
                <w:color w:val="auto"/>
                <w:sz w:val="24"/>
                <w:szCs w:val="24"/>
              </w:rPr>
            </w:pPr>
          </w:p>
        </w:tc>
        <w:tc>
          <w:tcPr>
            <w:tcW w:w="1323" w:type="dxa"/>
            <w:vAlign w:val="top"/>
          </w:tcPr>
          <w:p w14:paraId="4DEABD40">
            <w:pPr>
              <w:rPr>
                <w:rFonts w:hint="eastAsia" w:ascii="宋体" w:hAnsi="宋体" w:eastAsia="宋体" w:cs="宋体"/>
                <w:color w:val="auto"/>
                <w:sz w:val="24"/>
                <w:szCs w:val="24"/>
              </w:rPr>
            </w:pPr>
          </w:p>
        </w:tc>
        <w:tc>
          <w:tcPr>
            <w:tcW w:w="4309" w:type="dxa"/>
            <w:vAlign w:val="top"/>
          </w:tcPr>
          <w:p w14:paraId="5D24C331">
            <w:pPr>
              <w:rPr>
                <w:rFonts w:hint="eastAsia" w:ascii="宋体" w:hAnsi="宋体" w:eastAsia="宋体" w:cs="宋体"/>
                <w:color w:val="auto"/>
                <w:sz w:val="24"/>
                <w:szCs w:val="24"/>
              </w:rPr>
            </w:pPr>
          </w:p>
        </w:tc>
      </w:tr>
      <w:tr w14:paraId="2C75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bottom w:val="nil"/>
            </w:tcBorders>
            <w:vAlign w:val="center"/>
          </w:tcPr>
          <w:p w14:paraId="457C7803">
            <w:pPr>
              <w:jc w:val="center"/>
              <w:rPr>
                <w:rFonts w:hint="eastAsia" w:ascii="宋体" w:hAnsi="宋体" w:eastAsia="宋体" w:cs="宋体"/>
                <w:color w:val="auto"/>
                <w:sz w:val="24"/>
                <w:szCs w:val="24"/>
              </w:rPr>
            </w:pPr>
          </w:p>
        </w:tc>
        <w:tc>
          <w:tcPr>
            <w:tcW w:w="1988" w:type="dxa"/>
            <w:vAlign w:val="top"/>
          </w:tcPr>
          <w:p w14:paraId="685E153C">
            <w:pPr>
              <w:pStyle w:val="15"/>
              <w:spacing w:before="79" w:line="221" w:lineRule="auto"/>
              <w:ind w:left="81"/>
              <w:rPr>
                <w:rFonts w:hint="eastAsia" w:ascii="宋体" w:hAnsi="宋体" w:eastAsia="宋体" w:cs="宋体"/>
                <w:color w:val="auto"/>
                <w:sz w:val="24"/>
                <w:szCs w:val="24"/>
              </w:rPr>
            </w:pPr>
            <w:r>
              <w:rPr>
                <w:rFonts w:hint="eastAsia" w:ascii="宋体" w:hAnsi="宋体" w:eastAsia="宋体" w:cs="宋体"/>
                <w:color w:val="auto"/>
                <w:spacing w:val="-3"/>
                <w:sz w:val="24"/>
                <w:szCs w:val="24"/>
              </w:rPr>
              <w:t>领班</w:t>
            </w:r>
          </w:p>
        </w:tc>
        <w:tc>
          <w:tcPr>
            <w:tcW w:w="767" w:type="dxa"/>
            <w:vAlign w:val="top"/>
          </w:tcPr>
          <w:p w14:paraId="0C0604F1">
            <w:pPr>
              <w:rPr>
                <w:rFonts w:hint="eastAsia" w:ascii="宋体" w:hAnsi="宋体" w:eastAsia="宋体" w:cs="宋体"/>
                <w:color w:val="auto"/>
                <w:sz w:val="24"/>
                <w:szCs w:val="24"/>
              </w:rPr>
            </w:pPr>
          </w:p>
        </w:tc>
        <w:tc>
          <w:tcPr>
            <w:tcW w:w="1323" w:type="dxa"/>
            <w:vAlign w:val="top"/>
          </w:tcPr>
          <w:p w14:paraId="670F0AF4">
            <w:pPr>
              <w:rPr>
                <w:rFonts w:hint="eastAsia" w:ascii="宋体" w:hAnsi="宋体" w:eastAsia="宋体" w:cs="宋体"/>
                <w:color w:val="auto"/>
                <w:sz w:val="24"/>
                <w:szCs w:val="24"/>
              </w:rPr>
            </w:pPr>
          </w:p>
        </w:tc>
        <w:tc>
          <w:tcPr>
            <w:tcW w:w="4309" w:type="dxa"/>
            <w:vAlign w:val="top"/>
          </w:tcPr>
          <w:p w14:paraId="52F248CD">
            <w:pPr>
              <w:pStyle w:val="15"/>
              <w:spacing w:before="79"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如：24小时</w:t>
            </w:r>
          </w:p>
        </w:tc>
      </w:tr>
      <w:tr w14:paraId="050C1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57" w:type="dxa"/>
            <w:vMerge w:val="continue"/>
            <w:tcBorders>
              <w:top w:val="nil"/>
              <w:bottom w:val="nil"/>
            </w:tcBorders>
            <w:vAlign w:val="center"/>
          </w:tcPr>
          <w:p w14:paraId="34931BB6">
            <w:pPr>
              <w:jc w:val="center"/>
              <w:rPr>
                <w:rFonts w:hint="eastAsia" w:ascii="宋体" w:hAnsi="宋体" w:eastAsia="宋体" w:cs="宋体"/>
                <w:color w:val="auto"/>
                <w:sz w:val="24"/>
                <w:szCs w:val="24"/>
              </w:rPr>
            </w:pPr>
          </w:p>
        </w:tc>
        <w:tc>
          <w:tcPr>
            <w:tcW w:w="1988" w:type="dxa"/>
            <w:vAlign w:val="top"/>
          </w:tcPr>
          <w:p w14:paraId="167533BF">
            <w:pPr>
              <w:pStyle w:val="15"/>
              <w:spacing w:before="101" w:line="221" w:lineRule="auto"/>
              <w:ind w:left="98"/>
              <w:rPr>
                <w:rFonts w:hint="eastAsia" w:ascii="宋体" w:hAnsi="宋体" w:eastAsia="宋体" w:cs="宋体"/>
                <w:color w:val="auto"/>
                <w:sz w:val="24"/>
                <w:szCs w:val="24"/>
              </w:rPr>
            </w:pPr>
            <w:r>
              <w:rPr>
                <w:rFonts w:hint="eastAsia" w:ascii="宋体" w:hAnsi="宋体" w:eastAsia="宋体" w:cs="宋体"/>
                <w:color w:val="auto"/>
                <w:spacing w:val="-11"/>
                <w:sz w:val="24"/>
                <w:szCs w:val="24"/>
              </w:rPr>
              <w:t>门岗</w:t>
            </w:r>
          </w:p>
        </w:tc>
        <w:tc>
          <w:tcPr>
            <w:tcW w:w="767" w:type="dxa"/>
            <w:vAlign w:val="top"/>
          </w:tcPr>
          <w:p w14:paraId="59D4D8A9">
            <w:pPr>
              <w:rPr>
                <w:rFonts w:hint="eastAsia" w:ascii="宋体" w:hAnsi="宋体" w:eastAsia="宋体" w:cs="宋体"/>
                <w:color w:val="auto"/>
                <w:sz w:val="24"/>
                <w:szCs w:val="24"/>
              </w:rPr>
            </w:pPr>
          </w:p>
        </w:tc>
        <w:tc>
          <w:tcPr>
            <w:tcW w:w="1323" w:type="dxa"/>
            <w:vAlign w:val="top"/>
          </w:tcPr>
          <w:p w14:paraId="497EBAA5">
            <w:pPr>
              <w:rPr>
                <w:rFonts w:hint="eastAsia" w:ascii="宋体" w:hAnsi="宋体" w:eastAsia="宋体" w:cs="宋体"/>
                <w:color w:val="auto"/>
                <w:sz w:val="24"/>
                <w:szCs w:val="24"/>
              </w:rPr>
            </w:pPr>
          </w:p>
        </w:tc>
        <w:tc>
          <w:tcPr>
            <w:tcW w:w="4309" w:type="dxa"/>
            <w:vAlign w:val="top"/>
          </w:tcPr>
          <w:p w14:paraId="64176112">
            <w:pPr>
              <w:pStyle w:val="15"/>
              <w:spacing w:before="15" w:line="217" w:lineRule="auto"/>
              <w:ind w:left="83" w:right="76" w:firstLine="13"/>
              <w:rPr>
                <w:rFonts w:hint="eastAsia" w:ascii="宋体" w:hAnsi="宋体" w:eastAsia="宋体" w:cs="宋体"/>
                <w:color w:val="auto"/>
                <w:sz w:val="24"/>
                <w:szCs w:val="24"/>
              </w:rPr>
            </w:pPr>
            <w:r>
              <w:rPr>
                <w:rFonts w:hint="eastAsia" w:ascii="宋体" w:hAnsi="宋体" w:eastAsia="宋体" w:cs="宋体"/>
                <w:color w:val="auto"/>
                <w:spacing w:val="-2"/>
                <w:sz w:val="24"/>
                <w:szCs w:val="24"/>
              </w:rPr>
              <w:t>如：包括但不限于保安员证</w:t>
            </w:r>
          </w:p>
        </w:tc>
      </w:tr>
      <w:tr w14:paraId="038C5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57" w:type="dxa"/>
            <w:vMerge w:val="continue"/>
            <w:tcBorders>
              <w:top w:val="nil"/>
              <w:bottom w:val="nil"/>
            </w:tcBorders>
            <w:vAlign w:val="center"/>
          </w:tcPr>
          <w:p w14:paraId="460DE885">
            <w:pPr>
              <w:jc w:val="center"/>
              <w:rPr>
                <w:rFonts w:hint="eastAsia" w:ascii="宋体" w:hAnsi="宋体" w:eastAsia="宋体" w:cs="宋体"/>
                <w:color w:val="auto"/>
                <w:sz w:val="24"/>
                <w:szCs w:val="24"/>
              </w:rPr>
            </w:pPr>
          </w:p>
        </w:tc>
        <w:tc>
          <w:tcPr>
            <w:tcW w:w="1988" w:type="dxa"/>
            <w:vAlign w:val="top"/>
          </w:tcPr>
          <w:p w14:paraId="582DFB4E">
            <w:pPr>
              <w:pStyle w:val="15"/>
              <w:spacing w:before="69" w:line="221" w:lineRule="auto"/>
              <w:ind w:left="84"/>
              <w:rPr>
                <w:rFonts w:hint="eastAsia" w:ascii="宋体" w:hAnsi="宋体" w:eastAsia="宋体" w:cs="宋体"/>
                <w:color w:val="auto"/>
                <w:sz w:val="24"/>
                <w:szCs w:val="24"/>
              </w:rPr>
            </w:pPr>
            <w:r>
              <w:rPr>
                <w:rFonts w:hint="eastAsia" w:ascii="宋体" w:hAnsi="宋体" w:eastAsia="宋体" w:cs="宋体"/>
                <w:color w:val="auto"/>
                <w:spacing w:val="-3"/>
                <w:sz w:val="24"/>
                <w:szCs w:val="24"/>
              </w:rPr>
              <w:t>消控岗</w:t>
            </w:r>
          </w:p>
        </w:tc>
        <w:tc>
          <w:tcPr>
            <w:tcW w:w="767" w:type="dxa"/>
            <w:vAlign w:val="top"/>
          </w:tcPr>
          <w:p w14:paraId="2AB137EA">
            <w:pPr>
              <w:rPr>
                <w:rFonts w:hint="eastAsia" w:ascii="宋体" w:hAnsi="宋体" w:eastAsia="宋体" w:cs="宋体"/>
                <w:color w:val="auto"/>
                <w:sz w:val="24"/>
                <w:szCs w:val="24"/>
              </w:rPr>
            </w:pPr>
          </w:p>
        </w:tc>
        <w:tc>
          <w:tcPr>
            <w:tcW w:w="1323" w:type="dxa"/>
            <w:vAlign w:val="top"/>
          </w:tcPr>
          <w:p w14:paraId="74B8885C">
            <w:pPr>
              <w:rPr>
                <w:rFonts w:hint="eastAsia" w:ascii="宋体" w:hAnsi="宋体" w:eastAsia="宋体" w:cs="宋体"/>
                <w:color w:val="auto"/>
                <w:sz w:val="24"/>
                <w:szCs w:val="24"/>
              </w:rPr>
            </w:pPr>
          </w:p>
        </w:tc>
        <w:tc>
          <w:tcPr>
            <w:tcW w:w="4309" w:type="dxa"/>
            <w:vAlign w:val="top"/>
          </w:tcPr>
          <w:p w14:paraId="5AC9A620">
            <w:pPr>
              <w:pStyle w:val="15"/>
              <w:spacing w:before="69"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如：24小时</w:t>
            </w:r>
          </w:p>
        </w:tc>
      </w:tr>
      <w:tr w14:paraId="47B07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center"/>
          </w:tcPr>
          <w:p w14:paraId="3C2D96F6">
            <w:pPr>
              <w:jc w:val="center"/>
              <w:rPr>
                <w:rFonts w:hint="eastAsia" w:ascii="宋体" w:hAnsi="宋体" w:eastAsia="宋体" w:cs="宋体"/>
                <w:color w:val="auto"/>
                <w:sz w:val="24"/>
                <w:szCs w:val="24"/>
              </w:rPr>
            </w:pPr>
          </w:p>
        </w:tc>
        <w:tc>
          <w:tcPr>
            <w:tcW w:w="1988" w:type="dxa"/>
            <w:vAlign w:val="top"/>
          </w:tcPr>
          <w:p w14:paraId="6F383E18">
            <w:pPr>
              <w:pStyle w:val="15"/>
              <w:spacing w:before="79"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巡逻岗</w:t>
            </w:r>
          </w:p>
        </w:tc>
        <w:tc>
          <w:tcPr>
            <w:tcW w:w="767" w:type="dxa"/>
            <w:vAlign w:val="top"/>
          </w:tcPr>
          <w:p w14:paraId="6FC0802D">
            <w:pPr>
              <w:rPr>
                <w:rFonts w:hint="eastAsia" w:ascii="宋体" w:hAnsi="宋体" w:eastAsia="宋体" w:cs="宋体"/>
                <w:color w:val="auto"/>
                <w:sz w:val="24"/>
                <w:szCs w:val="24"/>
              </w:rPr>
            </w:pPr>
          </w:p>
        </w:tc>
        <w:tc>
          <w:tcPr>
            <w:tcW w:w="1323" w:type="dxa"/>
            <w:vAlign w:val="top"/>
          </w:tcPr>
          <w:p w14:paraId="68DF670B">
            <w:pPr>
              <w:rPr>
                <w:rFonts w:hint="eastAsia" w:ascii="宋体" w:hAnsi="宋体" w:eastAsia="宋体" w:cs="宋体"/>
                <w:color w:val="auto"/>
                <w:sz w:val="24"/>
                <w:szCs w:val="24"/>
              </w:rPr>
            </w:pPr>
          </w:p>
        </w:tc>
        <w:tc>
          <w:tcPr>
            <w:tcW w:w="4309" w:type="dxa"/>
            <w:vAlign w:val="top"/>
          </w:tcPr>
          <w:p w14:paraId="764D6EE1">
            <w:pPr>
              <w:rPr>
                <w:rFonts w:hint="eastAsia" w:ascii="宋体" w:hAnsi="宋体" w:eastAsia="宋体" w:cs="宋体"/>
                <w:color w:val="auto"/>
                <w:sz w:val="24"/>
                <w:szCs w:val="24"/>
              </w:rPr>
            </w:pPr>
          </w:p>
        </w:tc>
      </w:tr>
      <w:tr w14:paraId="4330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center"/>
          </w:tcPr>
          <w:p w14:paraId="15AC2252">
            <w:pPr>
              <w:jc w:val="center"/>
              <w:rPr>
                <w:rFonts w:hint="eastAsia" w:ascii="宋体" w:hAnsi="宋体" w:eastAsia="宋体" w:cs="宋体"/>
                <w:color w:val="auto"/>
                <w:sz w:val="24"/>
                <w:szCs w:val="24"/>
              </w:rPr>
            </w:pPr>
          </w:p>
        </w:tc>
        <w:tc>
          <w:tcPr>
            <w:tcW w:w="1988" w:type="dxa"/>
            <w:vAlign w:val="top"/>
          </w:tcPr>
          <w:p w14:paraId="2883979B">
            <w:pPr>
              <w:pStyle w:val="15"/>
              <w:spacing w:before="79" w:line="221" w:lineRule="auto"/>
              <w:ind w:left="82"/>
              <w:rPr>
                <w:rFonts w:hint="eastAsia" w:ascii="宋体" w:hAnsi="宋体" w:eastAsia="宋体" w:cs="宋体"/>
                <w:color w:val="auto"/>
                <w:sz w:val="24"/>
                <w:szCs w:val="24"/>
              </w:rPr>
            </w:pPr>
            <w:r>
              <w:rPr>
                <w:rFonts w:hint="eastAsia" w:ascii="宋体" w:hAnsi="宋体" w:eastAsia="宋体" w:cs="宋体"/>
                <w:color w:val="auto"/>
                <w:spacing w:val="-3"/>
                <w:sz w:val="24"/>
                <w:szCs w:val="24"/>
              </w:rPr>
              <w:t>车管岗</w:t>
            </w:r>
          </w:p>
        </w:tc>
        <w:tc>
          <w:tcPr>
            <w:tcW w:w="767" w:type="dxa"/>
            <w:vAlign w:val="top"/>
          </w:tcPr>
          <w:p w14:paraId="16579C8B">
            <w:pPr>
              <w:rPr>
                <w:rFonts w:hint="eastAsia" w:ascii="宋体" w:hAnsi="宋体" w:eastAsia="宋体" w:cs="宋体"/>
                <w:color w:val="auto"/>
                <w:sz w:val="24"/>
                <w:szCs w:val="24"/>
              </w:rPr>
            </w:pPr>
          </w:p>
        </w:tc>
        <w:tc>
          <w:tcPr>
            <w:tcW w:w="1323" w:type="dxa"/>
            <w:vAlign w:val="top"/>
          </w:tcPr>
          <w:p w14:paraId="31B02447">
            <w:pPr>
              <w:rPr>
                <w:rFonts w:hint="eastAsia" w:ascii="宋体" w:hAnsi="宋体" w:eastAsia="宋体" w:cs="宋体"/>
                <w:color w:val="auto"/>
                <w:sz w:val="24"/>
                <w:szCs w:val="24"/>
              </w:rPr>
            </w:pPr>
          </w:p>
        </w:tc>
        <w:tc>
          <w:tcPr>
            <w:tcW w:w="4309" w:type="dxa"/>
            <w:vAlign w:val="top"/>
          </w:tcPr>
          <w:p w14:paraId="00DCE5CD">
            <w:pPr>
              <w:rPr>
                <w:rFonts w:hint="eastAsia" w:ascii="宋体" w:hAnsi="宋体" w:eastAsia="宋体" w:cs="宋体"/>
                <w:color w:val="auto"/>
                <w:sz w:val="24"/>
                <w:szCs w:val="24"/>
              </w:rPr>
            </w:pPr>
          </w:p>
        </w:tc>
      </w:tr>
      <w:tr w14:paraId="26E49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tcBorders>
            <w:vAlign w:val="center"/>
          </w:tcPr>
          <w:p w14:paraId="72A4B5AE">
            <w:pPr>
              <w:jc w:val="center"/>
              <w:rPr>
                <w:rFonts w:hint="eastAsia" w:ascii="宋体" w:hAnsi="宋体" w:eastAsia="宋体" w:cs="宋体"/>
                <w:color w:val="auto"/>
                <w:sz w:val="24"/>
                <w:szCs w:val="24"/>
              </w:rPr>
            </w:pPr>
          </w:p>
        </w:tc>
        <w:tc>
          <w:tcPr>
            <w:tcW w:w="1988" w:type="dxa"/>
            <w:vAlign w:val="top"/>
          </w:tcPr>
          <w:p w14:paraId="0B3E6B25">
            <w:pPr>
              <w:spacing w:before="194" w:line="56" w:lineRule="exact"/>
              <w:ind w:left="86"/>
              <w:rPr>
                <w:rFonts w:hint="eastAsia" w:ascii="宋体" w:hAnsi="宋体" w:eastAsia="宋体" w:cs="宋体"/>
                <w:color w:val="auto"/>
                <w:sz w:val="24"/>
                <w:szCs w:val="24"/>
              </w:rPr>
            </w:pPr>
            <w:r>
              <w:rPr>
                <w:rFonts w:hint="eastAsia" w:ascii="宋体" w:hAnsi="宋体" w:eastAsia="宋体" w:cs="宋体"/>
                <w:color w:val="auto"/>
                <w:spacing w:val="-1"/>
                <w:position w:val="-1"/>
                <w:sz w:val="24"/>
                <w:szCs w:val="24"/>
              </w:rPr>
              <w:t>……</w:t>
            </w:r>
          </w:p>
        </w:tc>
        <w:tc>
          <w:tcPr>
            <w:tcW w:w="767" w:type="dxa"/>
            <w:vAlign w:val="top"/>
          </w:tcPr>
          <w:p w14:paraId="33E722C3">
            <w:pPr>
              <w:rPr>
                <w:rFonts w:hint="eastAsia" w:ascii="宋体" w:hAnsi="宋体" w:eastAsia="宋体" w:cs="宋体"/>
                <w:color w:val="auto"/>
                <w:sz w:val="24"/>
                <w:szCs w:val="24"/>
              </w:rPr>
            </w:pPr>
          </w:p>
        </w:tc>
        <w:tc>
          <w:tcPr>
            <w:tcW w:w="1323" w:type="dxa"/>
            <w:vAlign w:val="top"/>
          </w:tcPr>
          <w:p w14:paraId="7F5C3B72">
            <w:pPr>
              <w:rPr>
                <w:rFonts w:hint="eastAsia" w:ascii="宋体" w:hAnsi="宋体" w:eastAsia="宋体" w:cs="宋体"/>
                <w:color w:val="auto"/>
                <w:sz w:val="24"/>
                <w:szCs w:val="24"/>
              </w:rPr>
            </w:pPr>
          </w:p>
        </w:tc>
        <w:tc>
          <w:tcPr>
            <w:tcW w:w="4309" w:type="dxa"/>
            <w:vAlign w:val="top"/>
          </w:tcPr>
          <w:p w14:paraId="2FB8DDAE">
            <w:pPr>
              <w:rPr>
                <w:rFonts w:hint="eastAsia" w:ascii="宋体" w:hAnsi="宋体" w:eastAsia="宋体" w:cs="宋体"/>
                <w:color w:val="auto"/>
                <w:sz w:val="24"/>
                <w:szCs w:val="24"/>
              </w:rPr>
            </w:pPr>
          </w:p>
        </w:tc>
      </w:tr>
      <w:tr w14:paraId="56A49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57" w:type="dxa"/>
            <w:vAlign w:val="center"/>
          </w:tcPr>
          <w:p w14:paraId="1F8EC719">
            <w:pPr>
              <w:pStyle w:val="15"/>
              <w:spacing w:before="70" w:line="220" w:lineRule="auto"/>
              <w:ind w:left="83"/>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会议服务</w:t>
            </w:r>
          </w:p>
        </w:tc>
        <w:tc>
          <w:tcPr>
            <w:tcW w:w="1988" w:type="dxa"/>
            <w:vAlign w:val="top"/>
          </w:tcPr>
          <w:p w14:paraId="524AE009">
            <w:pPr>
              <w:pStyle w:val="15"/>
              <w:spacing w:before="70" w:line="220" w:lineRule="auto"/>
              <w:ind w:left="81"/>
              <w:rPr>
                <w:rFonts w:hint="eastAsia" w:ascii="宋体" w:hAnsi="宋体" w:eastAsia="宋体" w:cs="宋体"/>
                <w:color w:val="auto"/>
                <w:sz w:val="24"/>
                <w:szCs w:val="24"/>
              </w:rPr>
            </w:pPr>
            <w:r>
              <w:rPr>
                <w:rFonts w:hint="eastAsia" w:ascii="宋体" w:hAnsi="宋体" w:eastAsia="宋体" w:cs="宋体"/>
                <w:color w:val="auto"/>
                <w:spacing w:val="-3"/>
                <w:sz w:val="24"/>
                <w:szCs w:val="24"/>
              </w:rPr>
              <w:t>会务</w:t>
            </w:r>
          </w:p>
        </w:tc>
        <w:tc>
          <w:tcPr>
            <w:tcW w:w="767" w:type="dxa"/>
            <w:vAlign w:val="top"/>
          </w:tcPr>
          <w:p w14:paraId="493243CF">
            <w:pPr>
              <w:rPr>
                <w:rFonts w:hint="eastAsia" w:ascii="宋体" w:hAnsi="宋体" w:eastAsia="宋体" w:cs="宋体"/>
                <w:color w:val="auto"/>
                <w:sz w:val="24"/>
                <w:szCs w:val="24"/>
              </w:rPr>
            </w:pPr>
          </w:p>
        </w:tc>
        <w:tc>
          <w:tcPr>
            <w:tcW w:w="1323" w:type="dxa"/>
            <w:vAlign w:val="top"/>
          </w:tcPr>
          <w:p w14:paraId="22F26065">
            <w:pPr>
              <w:rPr>
                <w:rFonts w:hint="eastAsia" w:ascii="宋体" w:hAnsi="宋体" w:eastAsia="宋体" w:cs="宋体"/>
                <w:color w:val="auto"/>
                <w:sz w:val="24"/>
                <w:szCs w:val="24"/>
              </w:rPr>
            </w:pPr>
          </w:p>
        </w:tc>
        <w:tc>
          <w:tcPr>
            <w:tcW w:w="4309" w:type="dxa"/>
            <w:vAlign w:val="top"/>
          </w:tcPr>
          <w:p w14:paraId="7C735C0E">
            <w:pPr>
              <w:pStyle w:val="15"/>
              <w:spacing w:before="70"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如：08：00-17：00</w:t>
            </w:r>
          </w:p>
        </w:tc>
      </w:tr>
    </w:tbl>
    <w:p w14:paraId="33D97CAB">
      <w:pPr>
        <w:spacing w:before="10" w:line="221" w:lineRule="auto"/>
        <w:rPr>
          <w:rFonts w:hint="eastAsia" w:ascii="黑体" w:hAnsi="黑体" w:eastAsia="黑体" w:cs="宋体"/>
          <w:b w:val="0"/>
          <w:color w:val="000000"/>
          <w:sz w:val="24"/>
          <w:szCs w:val="24"/>
        </w:rPr>
      </w:pPr>
      <w:r>
        <w:rPr>
          <w:rFonts w:hint="eastAsia" w:ascii="宋体" w:hAnsi="宋体" w:eastAsia="宋体" w:cs="宋体"/>
          <w:b/>
          <w:bCs/>
          <w:color w:val="auto"/>
          <w:spacing w:val="-1"/>
          <w:sz w:val="21"/>
          <w:szCs w:val="21"/>
        </w:rPr>
        <w:t>注：供应商应当按国家相关法律法规，合理确定服务人员工资标准、工作时间等。供应商应当自行为服务人员办理必需的保险，有关人员伤亡及第三者责任险均应当考虑在报价因素中。</w:t>
      </w:r>
    </w:p>
    <w:p w14:paraId="3F3C0169">
      <w:pPr>
        <w:pStyle w:val="5"/>
        <w:numPr>
          <w:ilvl w:val="0"/>
          <w:numId w:val="7"/>
        </w:numPr>
        <w:spacing w:before="0" w:after="0" w:line="360" w:lineRule="auto"/>
        <w:ind w:firstLine="480"/>
        <w:jc w:val="left"/>
        <w:rPr>
          <w:rFonts w:hint="eastAsia" w:ascii="黑体" w:hAnsi="黑体" w:eastAsia="黑体" w:cs="宋体"/>
          <w:b w:val="0"/>
          <w:color w:val="000000"/>
          <w:sz w:val="24"/>
          <w:szCs w:val="24"/>
          <w:lang w:val="en-US" w:eastAsia="zh-CN"/>
        </w:rPr>
      </w:pPr>
      <w:r>
        <w:rPr>
          <w:rFonts w:hint="eastAsia" w:ascii="黑体" w:hAnsi="黑体" w:eastAsia="黑体" w:cs="宋体"/>
          <w:b w:val="0"/>
          <w:color w:val="000000"/>
          <w:sz w:val="24"/>
          <w:szCs w:val="24"/>
          <w:lang w:val="en-US" w:eastAsia="zh-CN"/>
        </w:rPr>
        <w:t>考核标准及考核办法</w:t>
      </w:r>
    </w:p>
    <w:p w14:paraId="3510B6BC">
      <w:pPr>
        <w:pStyle w:val="8"/>
        <w:numPr>
          <w:ilvl w:val="0"/>
          <w:numId w:val="0"/>
        </w:numPr>
        <w:spacing w:before="36" w:line="221" w:lineRule="auto"/>
        <w:ind w:left="0" w:leftChars="0" w:firstLine="482" w:firstLineChars="200"/>
        <w:rPr>
          <w:rFonts w:hint="default"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1.考核标准</w:t>
      </w:r>
    </w:p>
    <w:tbl>
      <w:tblPr>
        <w:tblStyle w:val="9"/>
        <w:tblW w:w="8698" w:type="dxa"/>
        <w:tblInd w:w="95" w:type="dxa"/>
        <w:tblLayout w:type="fixed"/>
        <w:tblCellMar>
          <w:top w:w="0" w:type="dxa"/>
          <w:left w:w="108" w:type="dxa"/>
          <w:bottom w:w="0" w:type="dxa"/>
          <w:right w:w="108" w:type="dxa"/>
        </w:tblCellMar>
      </w:tblPr>
      <w:tblGrid>
        <w:gridCol w:w="998"/>
        <w:gridCol w:w="4616"/>
        <w:gridCol w:w="1767"/>
        <w:gridCol w:w="1317"/>
      </w:tblGrid>
      <w:tr w14:paraId="00D1E283">
        <w:tblPrEx>
          <w:tblCellMar>
            <w:top w:w="0" w:type="dxa"/>
            <w:left w:w="108" w:type="dxa"/>
            <w:bottom w:w="0" w:type="dxa"/>
            <w:right w:w="108" w:type="dxa"/>
          </w:tblCellMar>
        </w:tblPrEx>
        <w:trPr>
          <w:trHeight w:val="204" w:hRule="atLeast"/>
        </w:trPr>
        <w:tc>
          <w:tcPr>
            <w:tcW w:w="5614" w:type="dxa"/>
            <w:gridSpan w:val="2"/>
            <w:tcBorders>
              <w:top w:val="single" w:color="auto" w:sz="4" w:space="0"/>
              <w:left w:val="single" w:color="auto" w:sz="4" w:space="0"/>
              <w:bottom w:val="single" w:color="auto" w:sz="4" w:space="0"/>
              <w:right w:val="single" w:color="000000" w:sz="4" w:space="0"/>
            </w:tcBorders>
            <w:noWrap w:val="0"/>
            <w:vAlign w:val="center"/>
          </w:tcPr>
          <w:p w14:paraId="2C807406">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考核项目及内容</w:t>
            </w:r>
          </w:p>
        </w:tc>
        <w:tc>
          <w:tcPr>
            <w:tcW w:w="1767" w:type="dxa"/>
            <w:tcBorders>
              <w:top w:val="single" w:color="auto" w:sz="4" w:space="0"/>
              <w:left w:val="nil"/>
              <w:bottom w:val="single" w:color="auto" w:sz="4" w:space="0"/>
              <w:right w:val="single" w:color="auto" w:sz="4" w:space="0"/>
            </w:tcBorders>
            <w:noWrap w:val="0"/>
            <w:vAlign w:val="center"/>
          </w:tcPr>
          <w:p w14:paraId="6FDE748E">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1317" w:type="dxa"/>
            <w:tcBorders>
              <w:top w:val="single" w:color="auto" w:sz="4" w:space="0"/>
              <w:left w:val="nil"/>
              <w:bottom w:val="single" w:color="auto" w:sz="4" w:space="0"/>
              <w:right w:val="single" w:color="auto" w:sz="4" w:space="0"/>
            </w:tcBorders>
            <w:noWrap w:val="0"/>
            <w:vAlign w:val="center"/>
          </w:tcPr>
          <w:p w14:paraId="3CB10EC5">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3BD1DD39">
        <w:tblPrEx>
          <w:tblCellMar>
            <w:top w:w="0" w:type="dxa"/>
            <w:left w:w="108" w:type="dxa"/>
            <w:bottom w:w="0" w:type="dxa"/>
            <w:right w:w="108" w:type="dxa"/>
          </w:tblCellMar>
        </w:tblPrEx>
        <w:trPr>
          <w:trHeight w:val="278" w:hRule="atLeast"/>
        </w:trPr>
        <w:tc>
          <w:tcPr>
            <w:tcW w:w="8698" w:type="dxa"/>
            <w:gridSpan w:val="4"/>
            <w:tcBorders>
              <w:top w:val="single" w:color="auto" w:sz="4" w:space="0"/>
              <w:left w:val="single" w:color="auto" w:sz="4" w:space="0"/>
              <w:bottom w:val="single" w:color="auto" w:sz="4" w:space="0"/>
              <w:right w:val="single" w:color="000000" w:sz="4" w:space="0"/>
            </w:tcBorders>
            <w:noWrap w:val="0"/>
            <w:vAlign w:val="center"/>
          </w:tcPr>
          <w:p w14:paraId="0421DE35">
            <w:pPr>
              <w:widowControl/>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一、综合管理(</w:t>
            </w:r>
            <w:r>
              <w:rPr>
                <w:rFonts w:hint="eastAsia" w:ascii="宋体" w:hAnsi="宋体" w:cs="宋体"/>
                <w:b/>
                <w:bCs/>
                <w:color w:val="auto"/>
                <w:sz w:val="24"/>
                <w:szCs w:val="24"/>
                <w:highlight w:val="none"/>
                <w:lang w:val="en-US" w:eastAsia="zh-CN"/>
              </w:rPr>
              <w:t>xx</w:t>
            </w:r>
            <w:r>
              <w:rPr>
                <w:rFonts w:hint="eastAsia" w:ascii="宋体" w:hAnsi="宋体" w:cs="宋体"/>
                <w:b/>
                <w:bCs/>
                <w:color w:val="auto"/>
                <w:sz w:val="24"/>
                <w:szCs w:val="24"/>
                <w:highlight w:val="none"/>
              </w:rPr>
              <w:t>分)</w:t>
            </w:r>
          </w:p>
        </w:tc>
      </w:tr>
      <w:tr w14:paraId="4B9B5217">
        <w:tblPrEx>
          <w:tblCellMar>
            <w:top w:w="0" w:type="dxa"/>
            <w:left w:w="108" w:type="dxa"/>
            <w:bottom w:w="0" w:type="dxa"/>
            <w:right w:w="108" w:type="dxa"/>
          </w:tblCellMar>
        </w:tblPrEx>
        <w:trPr>
          <w:trHeight w:val="278" w:hRule="atLeast"/>
        </w:trPr>
        <w:tc>
          <w:tcPr>
            <w:tcW w:w="998" w:type="dxa"/>
            <w:tcBorders>
              <w:top w:val="nil"/>
              <w:left w:val="single" w:color="auto" w:sz="4" w:space="0"/>
              <w:bottom w:val="single" w:color="auto" w:sz="4" w:space="0"/>
              <w:right w:val="single" w:color="auto" w:sz="4" w:space="0"/>
            </w:tcBorders>
            <w:noWrap w:val="0"/>
            <w:vAlign w:val="center"/>
          </w:tcPr>
          <w:p w14:paraId="23DEA61A">
            <w:pPr>
              <w:widowControl/>
              <w:jc w:val="center"/>
              <w:rPr>
                <w:rFonts w:hint="eastAsia" w:ascii="宋体" w:hAnsi="宋体" w:eastAsia="宋体" w:cs="宋体"/>
                <w:color w:val="auto"/>
                <w:sz w:val="24"/>
                <w:szCs w:val="24"/>
                <w:highlight w:val="none"/>
                <w:lang w:eastAsia="zh-CN"/>
              </w:rPr>
            </w:pPr>
          </w:p>
        </w:tc>
        <w:tc>
          <w:tcPr>
            <w:tcW w:w="4616" w:type="dxa"/>
            <w:tcBorders>
              <w:top w:val="nil"/>
              <w:left w:val="nil"/>
              <w:bottom w:val="single" w:color="auto" w:sz="4" w:space="0"/>
              <w:right w:val="single" w:color="auto" w:sz="4" w:space="0"/>
            </w:tcBorders>
            <w:noWrap w:val="0"/>
            <w:vAlign w:val="center"/>
          </w:tcPr>
          <w:p w14:paraId="01EEF423">
            <w:pPr>
              <w:widowControl/>
              <w:jc w:val="left"/>
              <w:rPr>
                <w:rFonts w:ascii="宋体" w:hAnsi="宋体" w:cs="宋体"/>
                <w:color w:val="auto"/>
                <w:sz w:val="24"/>
                <w:szCs w:val="24"/>
                <w:highlight w:val="none"/>
              </w:rPr>
            </w:pPr>
          </w:p>
        </w:tc>
        <w:tc>
          <w:tcPr>
            <w:tcW w:w="1767" w:type="dxa"/>
            <w:vMerge w:val="restart"/>
            <w:tcBorders>
              <w:top w:val="nil"/>
              <w:left w:val="single" w:color="auto" w:sz="4" w:space="0"/>
              <w:bottom w:val="single" w:color="000000" w:sz="4" w:space="0"/>
              <w:right w:val="single" w:color="auto" w:sz="4" w:space="0"/>
            </w:tcBorders>
            <w:noWrap w:val="0"/>
            <w:vAlign w:val="center"/>
          </w:tcPr>
          <w:p w14:paraId="48BDDBDF">
            <w:pPr>
              <w:widowControl/>
              <w:jc w:val="center"/>
              <w:rPr>
                <w:rFonts w:ascii="宋体" w:hAnsi="宋体" w:cs="宋体"/>
                <w:color w:val="auto"/>
                <w:sz w:val="24"/>
                <w:szCs w:val="24"/>
                <w:highlight w:val="none"/>
              </w:rPr>
            </w:pPr>
          </w:p>
        </w:tc>
        <w:tc>
          <w:tcPr>
            <w:tcW w:w="1317" w:type="dxa"/>
            <w:vMerge w:val="restart"/>
            <w:tcBorders>
              <w:top w:val="nil"/>
              <w:left w:val="single" w:color="auto" w:sz="4" w:space="0"/>
              <w:bottom w:val="single" w:color="000000" w:sz="4" w:space="0"/>
              <w:right w:val="single" w:color="auto" w:sz="4" w:space="0"/>
            </w:tcBorders>
            <w:noWrap w:val="0"/>
            <w:vAlign w:val="center"/>
          </w:tcPr>
          <w:p w14:paraId="07C731F2">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　</w:t>
            </w:r>
          </w:p>
        </w:tc>
      </w:tr>
      <w:tr w14:paraId="59C3D431">
        <w:tblPrEx>
          <w:tblCellMar>
            <w:top w:w="0" w:type="dxa"/>
            <w:left w:w="108" w:type="dxa"/>
            <w:bottom w:w="0" w:type="dxa"/>
            <w:right w:w="108" w:type="dxa"/>
          </w:tblCellMar>
        </w:tblPrEx>
        <w:trPr>
          <w:trHeight w:val="278" w:hRule="atLeast"/>
        </w:trPr>
        <w:tc>
          <w:tcPr>
            <w:tcW w:w="998" w:type="dxa"/>
            <w:tcBorders>
              <w:top w:val="nil"/>
              <w:left w:val="single" w:color="auto" w:sz="4" w:space="0"/>
              <w:bottom w:val="single" w:color="auto" w:sz="4" w:space="0"/>
              <w:right w:val="single" w:color="auto" w:sz="4" w:space="0"/>
            </w:tcBorders>
            <w:noWrap w:val="0"/>
            <w:vAlign w:val="center"/>
          </w:tcPr>
          <w:p w14:paraId="3D5CD325">
            <w:pPr>
              <w:widowControl/>
              <w:jc w:val="center"/>
              <w:rPr>
                <w:rFonts w:hint="eastAsia" w:ascii="宋体" w:hAnsi="宋体" w:eastAsia="宋体" w:cs="宋体"/>
                <w:color w:val="auto"/>
                <w:sz w:val="24"/>
                <w:szCs w:val="24"/>
                <w:highlight w:val="none"/>
                <w:lang w:eastAsia="zh-CN"/>
              </w:rPr>
            </w:pPr>
          </w:p>
        </w:tc>
        <w:tc>
          <w:tcPr>
            <w:tcW w:w="4616" w:type="dxa"/>
            <w:tcBorders>
              <w:top w:val="nil"/>
              <w:left w:val="nil"/>
              <w:bottom w:val="single" w:color="auto" w:sz="4" w:space="0"/>
              <w:right w:val="single" w:color="auto" w:sz="4" w:space="0"/>
            </w:tcBorders>
            <w:noWrap w:val="0"/>
            <w:vAlign w:val="center"/>
          </w:tcPr>
          <w:p w14:paraId="5C2E4F97">
            <w:pPr>
              <w:widowControl/>
              <w:jc w:val="left"/>
              <w:rPr>
                <w:rFonts w:ascii="宋体" w:hAnsi="宋体" w:cs="宋体"/>
                <w:color w:val="auto"/>
                <w:sz w:val="24"/>
                <w:szCs w:val="24"/>
                <w:highlight w:val="none"/>
              </w:rPr>
            </w:pPr>
          </w:p>
        </w:tc>
        <w:tc>
          <w:tcPr>
            <w:tcW w:w="1767" w:type="dxa"/>
            <w:vMerge w:val="continue"/>
            <w:tcBorders>
              <w:top w:val="nil"/>
              <w:left w:val="single" w:color="auto" w:sz="4" w:space="0"/>
              <w:bottom w:val="single" w:color="000000" w:sz="4" w:space="0"/>
              <w:right w:val="single" w:color="auto" w:sz="4" w:space="0"/>
            </w:tcBorders>
            <w:noWrap w:val="0"/>
            <w:vAlign w:val="center"/>
          </w:tcPr>
          <w:p w14:paraId="6F79A746">
            <w:pPr>
              <w:widowControl/>
              <w:jc w:val="left"/>
              <w:rPr>
                <w:rFonts w:ascii="宋体" w:hAnsi="宋体" w:cs="宋体"/>
                <w:color w:val="auto"/>
                <w:sz w:val="24"/>
                <w:szCs w:val="24"/>
                <w:highlight w:val="none"/>
              </w:rPr>
            </w:pPr>
          </w:p>
        </w:tc>
        <w:tc>
          <w:tcPr>
            <w:tcW w:w="1317" w:type="dxa"/>
            <w:vMerge w:val="continue"/>
            <w:tcBorders>
              <w:top w:val="nil"/>
              <w:left w:val="single" w:color="auto" w:sz="4" w:space="0"/>
              <w:bottom w:val="single" w:color="000000" w:sz="4" w:space="0"/>
              <w:right w:val="single" w:color="auto" w:sz="4" w:space="0"/>
            </w:tcBorders>
            <w:noWrap w:val="0"/>
            <w:vAlign w:val="center"/>
          </w:tcPr>
          <w:p w14:paraId="62AB5C3F">
            <w:pPr>
              <w:widowControl/>
              <w:jc w:val="left"/>
              <w:rPr>
                <w:rFonts w:ascii="宋体" w:hAnsi="宋体" w:cs="宋体"/>
                <w:color w:val="auto"/>
                <w:sz w:val="24"/>
                <w:szCs w:val="24"/>
                <w:highlight w:val="none"/>
              </w:rPr>
            </w:pPr>
          </w:p>
        </w:tc>
      </w:tr>
      <w:tr w14:paraId="7DD39895">
        <w:tblPrEx>
          <w:tblCellMar>
            <w:top w:w="0" w:type="dxa"/>
            <w:left w:w="108" w:type="dxa"/>
            <w:bottom w:w="0" w:type="dxa"/>
            <w:right w:w="108" w:type="dxa"/>
          </w:tblCellMar>
        </w:tblPrEx>
        <w:trPr>
          <w:trHeight w:val="285" w:hRule="atLeast"/>
        </w:trPr>
        <w:tc>
          <w:tcPr>
            <w:tcW w:w="998" w:type="dxa"/>
            <w:tcBorders>
              <w:top w:val="nil"/>
              <w:left w:val="single" w:color="auto" w:sz="4" w:space="0"/>
              <w:bottom w:val="single" w:color="auto" w:sz="4" w:space="0"/>
              <w:right w:val="single" w:color="auto" w:sz="4" w:space="0"/>
            </w:tcBorders>
            <w:noWrap w:val="0"/>
            <w:vAlign w:val="center"/>
          </w:tcPr>
          <w:p w14:paraId="48031EDA">
            <w:pPr>
              <w:widowControl/>
              <w:jc w:val="center"/>
              <w:rPr>
                <w:rFonts w:ascii="宋体" w:hAnsi="宋体" w:cs="宋体"/>
                <w:color w:val="auto"/>
                <w:sz w:val="24"/>
                <w:szCs w:val="24"/>
                <w:highlight w:val="none"/>
              </w:rPr>
            </w:pPr>
          </w:p>
        </w:tc>
        <w:tc>
          <w:tcPr>
            <w:tcW w:w="4616" w:type="dxa"/>
            <w:tcBorders>
              <w:top w:val="nil"/>
              <w:left w:val="nil"/>
              <w:bottom w:val="single" w:color="auto" w:sz="4" w:space="0"/>
              <w:right w:val="single" w:color="auto" w:sz="4" w:space="0"/>
            </w:tcBorders>
            <w:noWrap w:val="0"/>
            <w:vAlign w:val="center"/>
          </w:tcPr>
          <w:p w14:paraId="14722906">
            <w:pPr>
              <w:widowControl/>
              <w:jc w:val="left"/>
              <w:rPr>
                <w:rFonts w:ascii="宋体" w:hAnsi="宋体" w:cs="宋体"/>
                <w:color w:val="auto"/>
                <w:sz w:val="24"/>
                <w:szCs w:val="24"/>
                <w:highlight w:val="none"/>
              </w:rPr>
            </w:pPr>
          </w:p>
        </w:tc>
        <w:tc>
          <w:tcPr>
            <w:tcW w:w="1767" w:type="dxa"/>
            <w:vMerge w:val="continue"/>
            <w:tcBorders>
              <w:top w:val="nil"/>
              <w:left w:val="single" w:color="auto" w:sz="4" w:space="0"/>
              <w:bottom w:val="single" w:color="000000" w:sz="4" w:space="0"/>
              <w:right w:val="single" w:color="auto" w:sz="4" w:space="0"/>
            </w:tcBorders>
            <w:noWrap w:val="0"/>
            <w:vAlign w:val="center"/>
          </w:tcPr>
          <w:p w14:paraId="6077A5C3">
            <w:pPr>
              <w:widowControl/>
              <w:jc w:val="left"/>
              <w:rPr>
                <w:rFonts w:ascii="宋体" w:hAnsi="宋体" w:cs="宋体"/>
                <w:color w:val="auto"/>
                <w:sz w:val="24"/>
                <w:szCs w:val="24"/>
                <w:highlight w:val="none"/>
              </w:rPr>
            </w:pPr>
          </w:p>
        </w:tc>
        <w:tc>
          <w:tcPr>
            <w:tcW w:w="1317" w:type="dxa"/>
            <w:vMerge w:val="continue"/>
            <w:tcBorders>
              <w:top w:val="nil"/>
              <w:left w:val="single" w:color="auto" w:sz="4" w:space="0"/>
              <w:bottom w:val="single" w:color="000000" w:sz="4" w:space="0"/>
              <w:right w:val="single" w:color="auto" w:sz="4" w:space="0"/>
            </w:tcBorders>
            <w:noWrap w:val="0"/>
            <w:vAlign w:val="center"/>
          </w:tcPr>
          <w:p w14:paraId="4A56B28C">
            <w:pPr>
              <w:widowControl/>
              <w:jc w:val="left"/>
              <w:rPr>
                <w:rFonts w:ascii="宋体" w:hAnsi="宋体" w:cs="宋体"/>
                <w:color w:val="auto"/>
                <w:sz w:val="24"/>
                <w:szCs w:val="24"/>
                <w:highlight w:val="none"/>
              </w:rPr>
            </w:pPr>
          </w:p>
        </w:tc>
      </w:tr>
      <w:tr w14:paraId="26D7A912">
        <w:tblPrEx>
          <w:tblCellMar>
            <w:top w:w="0" w:type="dxa"/>
            <w:left w:w="108" w:type="dxa"/>
            <w:bottom w:w="0" w:type="dxa"/>
            <w:right w:w="108" w:type="dxa"/>
          </w:tblCellMar>
        </w:tblPrEx>
        <w:trPr>
          <w:trHeight w:val="289" w:hRule="atLeast"/>
        </w:trPr>
        <w:tc>
          <w:tcPr>
            <w:tcW w:w="8698" w:type="dxa"/>
            <w:gridSpan w:val="4"/>
            <w:tcBorders>
              <w:top w:val="single" w:color="auto" w:sz="4" w:space="0"/>
              <w:left w:val="single" w:color="auto" w:sz="4" w:space="0"/>
              <w:bottom w:val="single" w:color="auto" w:sz="4" w:space="0"/>
              <w:right w:val="single" w:color="000000" w:sz="4" w:space="0"/>
            </w:tcBorders>
            <w:noWrap w:val="0"/>
            <w:vAlign w:val="center"/>
          </w:tcPr>
          <w:p w14:paraId="747C3FE4">
            <w:pPr>
              <w:widowControl/>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二、房屋维护服务（</w:t>
            </w:r>
            <w:r>
              <w:rPr>
                <w:rFonts w:hint="eastAsia" w:ascii="宋体" w:hAnsi="宋体" w:cs="宋体"/>
                <w:b/>
                <w:bCs/>
                <w:color w:val="auto"/>
                <w:sz w:val="24"/>
                <w:szCs w:val="24"/>
                <w:highlight w:val="none"/>
                <w:lang w:val="en-US" w:eastAsia="zh-CN"/>
              </w:rPr>
              <w:t>xx</w:t>
            </w:r>
            <w:r>
              <w:rPr>
                <w:rFonts w:hint="eastAsia" w:ascii="宋体" w:hAnsi="宋体" w:cs="宋体"/>
                <w:b/>
                <w:bCs/>
                <w:color w:val="auto"/>
                <w:sz w:val="24"/>
                <w:szCs w:val="24"/>
                <w:highlight w:val="none"/>
              </w:rPr>
              <w:t>分）</w:t>
            </w:r>
          </w:p>
        </w:tc>
      </w:tr>
      <w:tr w14:paraId="04934DB3">
        <w:tblPrEx>
          <w:tblCellMar>
            <w:top w:w="0" w:type="dxa"/>
            <w:left w:w="108" w:type="dxa"/>
            <w:bottom w:w="0" w:type="dxa"/>
            <w:right w:w="108" w:type="dxa"/>
          </w:tblCellMar>
        </w:tblPrEx>
        <w:trPr>
          <w:trHeight w:val="278" w:hRule="atLeast"/>
        </w:trPr>
        <w:tc>
          <w:tcPr>
            <w:tcW w:w="998" w:type="dxa"/>
            <w:vMerge w:val="restart"/>
            <w:tcBorders>
              <w:top w:val="nil"/>
              <w:left w:val="single" w:color="auto" w:sz="4" w:space="0"/>
              <w:bottom w:val="single" w:color="000000" w:sz="4" w:space="0"/>
              <w:right w:val="single" w:color="auto" w:sz="4" w:space="0"/>
            </w:tcBorders>
            <w:noWrap w:val="0"/>
            <w:vAlign w:val="center"/>
          </w:tcPr>
          <w:p w14:paraId="099CA6D7">
            <w:pPr>
              <w:widowControl/>
              <w:jc w:val="center"/>
              <w:rPr>
                <w:rFonts w:hint="eastAsia" w:ascii="宋体" w:hAnsi="宋体" w:eastAsia="宋体" w:cs="宋体"/>
                <w:color w:val="auto"/>
                <w:sz w:val="22"/>
                <w:highlight w:val="none"/>
                <w:lang w:eastAsia="zh-CN"/>
              </w:rPr>
            </w:pPr>
          </w:p>
        </w:tc>
        <w:tc>
          <w:tcPr>
            <w:tcW w:w="4616" w:type="dxa"/>
            <w:tcBorders>
              <w:top w:val="nil"/>
              <w:left w:val="nil"/>
              <w:bottom w:val="single" w:color="auto" w:sz="4" w:space="0"/>
              <w:right w:val="single" w:color="auto" w:sz="4" w:space="0"/>
            </w:tcBorders>
            <w:noWrap w:val="0"/>
            <w:vAlign w:val="center"/>
          </w:tcPr>
          <w:p w14:paraId="4C3F30E2">
            <w:pPr>
              <w:widowControl/>
              <w:jc w:val="left"/>
              <w:rPr>
                <w:rFonts w:ascii="宋体" w:hAnsi="宋体" w:cs="宋体"/>
                <w:color w:val="auto"/>
                <w:sz w:val="22"/>
                <w:highlight w:val="none"/>
              </w:rPr>
            </w:pPr>
          </w:p>
        </w:tc>
        <w:tc>
          <w:tcPr>
            <w:tcW w:w="1767" w:type="dxa"/>
            <w:vMerge w:val="restart"/>
            <w:tcBorders>
              <w:top w:val="nil"/>
              <w:left w:val="single" w:color="auto" w:sz="4" w:space="0"/>
              <w:bottom w:val="single" w:color="auto" w:sz="4" w:space="0"/>
              <w:right w:val="single" w:color="auto" w:sz="4" w:space="0"/>
            </w:tcBorders>
            <w:noWrap w:val="0"/>
            <w:vAlign w:val="center"/>
          </w:tcPr>
          <w:p w14:paraId="5E7A7D5D">
            <w:pPr>
              <w:widowControl/>
              <w:jc w:val="center"/>
              <w:rPr>
                <w:rFonts w:ascii="宋体" w:hAnsi="宋体" w:cs="宋体"/>
                <w:color w:val="auto"/>
                <w:sz w:val="22"/>
                <w:highlight w:val="none"/>
              </w:rPr>
            </w:pPr>
          </w:p>
        </w:tc>
        <w:tc>
          <w:tcPr>
            <w:tcW w:w="1317" w:type="dxa"/>
            <w:vMerge w:val="restart"/>
            <w:tcBorders>
              <w:top w:val="nil"/>
              <w:left w:val="single" w:color="auto" w:sz="4" w:space="0"/>
              <w:bottom w:val="single" w:color="auto" w:sz="4" w:space="0"/>
              <w:right w:val="single" w:color="auto" w:sz="4" w:space="0"/>
            </w:tcBorders>
            <w:noWrap w:val="0"/>
            <w:vAlign w:val="center"/>
          </w:tcPr>
          <w:p w14:paraId="2A5C7A6F">
            <w:pPr>
              <w:widowControl/>
              <w:jc w:val="center"/>
              <w:rPr>
                <w:rFonts w:ascii="宋体" w:hAnsi="宋体" w:cs="宋体"/>
                <w:color w:val="auto"/>
                <w:sz w:val="22"/>
                <w:highlight w:val="none"/>
              </w:rPr>
            </w:pPr>
            <w:r>
              <w:rPr>
                <w:rFonts w:hint="eastAsia" w:ascii="宋体" w:hAnsi="宋体" w:cs="宋体"/>
                <w:color w:val="auto"/>
                <w:sz w:val="22"/>
                <w:highlight w:val="none"/>
              </w:rPr>
              <w:t>　</w:t>
            </w:r>
          </w:p>
        </w:tc>
      </w:tr>
      <w:tr w14:paraId="241B2D3B">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433AC1A8">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0D8BBD96">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auto" w:sz="4" w:space="0"/>
              <w:right w:val="single" w:color="auto" w:sz="4" w:space="0"/>
            </w:tcBorders>
            <w:noWrap w:val="0"/>
            <w:vAlign w:val="center"/>
          </w:tcPr>
          <w:p w14:paraId="390BC5EB">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auto" w:sz="4" w:space="0"/>
              <w:right w:val="single" w:color="auto" w:sz="4" w:space="0"/>
            </w:tcBorders>
            <w:noWrap w:val="0"/>
            <w:vAlign w:val="center"/>
          </w:tcPr>
          <w:p w14:paraId="787B90C9">
            <w:pPr>
              <w:widowControl/>
              <w:jc w:val="left"/>
              <w:rPr>
                <w:rFonts w:ascii="宋体" w:hAnsi="宋体" w:cs="宋体"/>
                <w:color w:val="auto"/>
                <w:sz w:val="22"/>
                <w:highlight w:val="none"/>
              </w:rPr>
            </w:pPr>
          </w:p>
        </w:tc>
      </w:tr>
      <w:tr w14:paraId="765EF6D8">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70C3E626">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04AC5D4F">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auto" w:sz="4" w:space="0"/>
              <w:right w:val="single" w:color="auto" w:sz="4" w:space="0"/>
            </w:tcBorders>
            <w:noWrap w:val="0"/>
            <w:vAlign w:val="center"/>
          </w:tcPr>
          <w:p w14:paraId="7B99EE41">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auto" w:sz="4" w:space="0"/>
              <w:right w:val="single" w:color="auto" w:sz="4" w:space="0"/>
            </w:tcBorders>
            <w:noWrap w:val="0"/>
            <w:vAlign w:val="center"/>
          </w:tcPr>
          <w:p w14:paraId="427571C4">
            <w:pPr>
              <w:widowControl/>
              <w:jc w:val="left"/>
              <w:rPr>
                <w:rFonts w:ascii="宋体" w:hAnsi="宋体" w:cs="宋体"/>
                <w:color w:val="auto"/>
                <w:sz w:val="22"/>
                <w:highlight w:val="none"/>
              </w:rPr>
            </w:pPr>
          </w:p>
        </w:tc>
      </w:tr>
      <w:tr w14:paraId="0C180AF7">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156A2E69">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5192EB10">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auto" w:sz="4" w:space="0"/>
              <w:right w:val="single" w:color="auto" w:sz="4" w:space="0"/>
            </w:tcBorders>
            <w:noWrap w:val="0"/>
            <w:vAlign w:val="center"/>
          </w:tcPr>
          <w:p w14:paraId="30A7CE98">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auto" w:sz="4" w:space="0"/>
              <w:right w:val="single" w:color="auto" w:sz="4" w:space="0"/>
            </w:tcBorders>
            <w:noWrap w:val="0"/>
            <w:vAlign w:val="center"/>
          </w:tcPr>
          <w:p w14:paraId="57468449">
            <w:pPr>
              <w:widowControl/>
              <w:jc w:val="left"/>
              <w:rPr>
                <w:rFonts w:ascii="宋体" w:hAnsi="宋体" w:cs="宋体"/>
                <w:color w:val="auto"/>
                <w:sz w:val="22"/>
                <w:highlight w:val="none"/>
              </w:rPr>
            </w:pPr>
          </w:p>
        </w:tc>
      </w:tr>
      <w:tr w14:paraId="0DF9AED8">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0E935147">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089ABCEC">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auto" w:sz="4" w:space="0"/>
              <w:right w:val="single" w:color="auto" w:sz="4" w:space="0"/>
            </w:tcBorders>
            <w:noWrap w:val="0"/>
            <w:vAlign w:val="center"/>
          </w:tcPr>
          <w:p w14:paraId="2D073470">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auto" w:sz="4" w:space="0"/>
              <w:right w:val="single" w:color="auto" w:sz="4" w:space="0"/>
            </w:tcBorders>
            <w:noWrap w:val="0"/>
            <w:vAlign w:val="center"/>
          </w:tcPr>
          <w:p w14:paraId="45143730">
            <w:pPr>
              <w:widowControl/>
              <w:jc w:val="left"/>
              <w:rPr>
                <w:rFonts w:ascii="宋体" w:hAnsi="宋体" w:cs="宋体"/>
                <w:color w:val="auto"/>
                <w:sz w:val="22"/>
                <w:highlight w:val="none"/>
              </w:rPr>
            </w:pPr>
          </w:p>
        </w:tc>
      </w:tr>
      <w:tr w14:paraId="71EFF5DF">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131FDDBE">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1CCE563D">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000000" w:sz="4" w:space="0"/>
              <w:right w:val="single" w:color="auto" w:sz="4" w:space="0"/>
            </w:tcBorders>
            <w:noWrap w:val="0"/>
            <w:vAlign w:val="center"/>
          </w:tcPr>
          <w:p w14:paraId="15575686">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000000" w:sz="4" w:space="0"/>
              <w:right w:val="single" w:color="auto" w:sz="4" w:space="0"/>
            </w:tcBorders>
            <w:noWrap w:val="0"/>
            <w:vAlign w:val="center"/>
          </w:tcPr>
          <w:p w14:paraId="0F90890D">
            <w:pPr>
              <w:widowControl/>
              <w:jc w:val="left"/>
              <w:rPr>
                <w:rFonts w:ascii="宋体" w:hAnsi="宋体" w:cs="宋体"/>
                <w:color w:val="auto"/>
                <w:sz w:val="22"/>
                <w:highlight w:val="none"/>
              </w:rPr>
            </w:pPr>
          </w:p>
        </w:tc>
      </w:tr>
      <w:tr w14:paraId="08788749">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7EE7CDA0">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5C05EF83">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000000" w:sz="4" w:space="0"/>
              <w:right w:val="single" w:color="auto" w:sz="4" w:space="0"/>
            </w:tcBorders>
            <w:noWrap w:val="0"/>
            <w:vAlign w:val="center"/>
          </w:tcPr>
          <w:p w14:paraId="5C4841B8">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000000" w:sz="4" w:space="0"/>
              <w:right w:val="single" w:color="auto" w:sz="4" w:space="0"/>
            </w:tcBorders>
            <w:noWrap w:val="0"/>
            <w:vAlign w:val="center"/>
          </w:tcPr>
          <w:p w14:paraId="39431771">
            <w:pPr>
              <w:widowControl/>
              <w:jc w:val="left"/>
              <w:rPr>
                <w:rFonts w:ascii="宋体" w:hAnsi="宋体" w:cs="宋体"/>
                <w:color w:val="auto"/>
                <w:sz w:val="22"/>
                <w:highlight w:val="none"/>
              </w:rPr>
            </w:pPr>
          </w:p>
        </w:tc>
      </w:tr>
      <w:tr w14:paraId="2B3A2A59">
        <w:tblPrEx>
          <w:tblCellMar>
            <w:top w:w="0" w:type="dxa"/>
            <w:left w:w="108" w:type="dxa"/>
            <w:bottom w:w="0" w:type="dxa"/>
            <w:right w:w="108" w:type="dxa"/>
          </w:tblCellMar>
        </w:tblPrEx>
        <w:trPr>
          <w:trHeight w:val="278" w:hRule="atLeast"/>
        </w:trPr>
        <w:tc>
          <w:tcPr>
            <w:tcW w:w="8698" w:type="dxa"/>
            <w:gridSpan w:val="4"/>
            <w:tcBorders>
              <w:top w:val="single" w:color="auto" w:sz="4" w:space="0"/>
              <w:left w:val="single" w:color="auto" w:sz="4" w:space="0"/>
              <w:bottom w:val="single" w:color="auto" w:sz="4" w:space="0"/>
              <w:right w:val="single" w:color="000000" w:sz="4" w:space="0"/>
            </w:tcBorders>
            <w:noWrap w:val="0"/>
            <w:vAlign w:val="center"/>
          </w:tcPr>
          <w:p w14:paraId="7855A3A8">
            <w:pPr>
              <w:widowControl/>
              <w:jc w:val="left"/>
              <w:rPr>
                <w:rFonts w:hint="default" w:ascii="宋体" w:hAnsi="宋体" w:eastAsia="宋体" w:cs="宋体"/>
                <w:b/>
                <w:bCs/>
                <w:color w:val="auto"/>
                <w:sz w:val="22"/>
                <w:highlight w:val="none"/>
                <w:lang w:val="en-US" w:eastAsia="zh-CN"/>
              </w:rPr>
            </w:pPr>
          </w:p>
        </w:tc>
      </w:tr>
    </w:tbl>
    <w:p w14:paraId="4FD23EE1">
      <w:pPr>
        <w:pStyle w:val="8"/>
        <w:numPr>
          <w:ilvl w:val="0"/>
          <w:numId w:val="0"/>
        </w:numPr>
        <w:spacing w:before="36" w:line="221" w:lineRule="auto"/>
        <w:ind w:left="0" w:leftChars="0" w:firstLine="422" w:firstLineChars="200"/>
        <w:rPr>
          <w:rFonts w:hint="default" w:ascii="宋体" w:hAnsi="宋体" w:eastAsia="宋体" w:cs="Times New Roman"/>
          <w:b/>
          <w:bCs/>
          <w:sz w:val="21"/>
          <w:szCs w:val="21"/>
          <w:lang w:val="en-US" w:eastAsia="zh-CN" w:bidi="ar-SA"/>
        </w:rPr>
      </w:pPr>
      <w:r>
        <w:rPr>
          <w:rFonts w:hint="eastAsia" w:ascii="宋体" w:hAnsi="宋体" w:eastAsia="宋体" w:cs="Times New Roman"/>
          <w:b/>
          <w:bCs/>
          <w:sz w:val="21"/>
          <w:szCs w:val="21"/>
          <w:lang w:val="en-US" w:eastAsia="zh-CN" w:bidi="ar-SA"/>
        </w:rPr>
        <w:t>注：用人单位根据需求自行设计考核内容</w:t>
      </w:r>
    </w:p>
    <w:p w14:paraId="3E8DD2C5">
      <w:pPr>
        <w:pStyle w:val="8"/>
        <w:numPr>
          <w:ilvl w:val="0"/>
          <w:numId w:val="8"/>
        </w:numPr>
        <w:spacing w:before="36" w:line="221" w:lineRule="auto"/>
        <w:ind w:left="0" w:leftChars="0" w:firstLine="482" w:firstLineChars="200"/>
        <w:rPr>
          <w:rFonts w:hint="eastAsia"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考核办法及付款方式</w:t>
      </w:r>
    </w:p>
    <w:p w14:paraId="3D15FA0C">
      <w:pPr>
        <w:pStyle w:val="8"/>
        <w:numPr>
          <w:ilvl w:val="0"/>
          <w:numId w:val="0"/>
        </w:numPr>
        <w:spacing w:before="36" w:line="221" w:lineRule="auto"/>
        <w:ind w:firstLine="480" w:firstLineChars="200"/>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由</w:t>
      </w:r>
      <w:r>
        <w:rPr>
          <w:rFonts w:hint="default" w:ascii="宋体" w:hAnsi="宋体" w:eastAsia="宋体" w:cs="宋体"/>
          <w:color w:val="auto"/>
          <w:sz w:val="24"/>
          <w:szCs w:val="24"/>
          <w:lang w:val="en-US" w:eastAsia="zh-CN" w:bidi="ar-SA"/>
        </w:rPr>
        <w:t>采购人及入围供应商根据服务内容、人员配备等具体服务要求在合同中约定。</w:t>
      </w:r>
    </w:p>
    <w:p w14:paraId="73406AA4">
      <w:pPr>
        <w:pStyle w:val="5"/>
        <w:numPr>
          <w:ilvl w:val="0"/>
          <w:numId w:val="0"/>
        </w:numPr>
        <w:spacing w:before="0" w:after="0" w:line="360" w:lineRule="auto"/>
        <w:ind w:firstLine="480" w:firstLineChars="200"/>
        <w:jc w:val="left"/>
        <w:rPr>
          <w:rFonts w:hint="eastAsia" w:ascii="黑体" w:hAnsi="黑体" w:eastAsia="黑体" w:cs="宋体"/>
          <w:b w:val="0"/>
          <w:bCs w:val="0"/>
          <w:color w:val="000000"/>
          <w:sz w:val="24"/>
          <w:szCs w:val="24"/>
        </w:rPr>
      </w:pPr>
      <w:r>
        <w:rPr>
          <w:rFonts w:hint="eastAsia" w:ascii="黑体" w:hAnsi="黑体" w:eastAsia="黑体" w:cs="宋体"/>
          <w:b w:val="0"/>
          <w:bCs w:val="0"/>
          <w:color w:val="000000"/>
          <w:sz w:val="24"/>
          <w:szCs w:val="24"/>
          <w:lang w:val="en-US" w:eastAsia="zh-CN"/>
        </w:rPr>
        <w:t>四、</w:t>
      </w:r>
      <w:r>
        <w:rPr>
          <w:rFonts w:hint="eastAsia" w:ascii="黑体" w:hAnsi="黑体" w:eastAsia="黑体" w:cs="宋体"/>
          <w:b w:val="0"/>
          <w:bCs w:val="0"/>
          <w:color w:val="000000"/>
          <w:sz w:val="24"/>
          <w:szCs w:val="24"/>
        </w:rPr>
        <w:t>框架协议的报价要求</w:t>
      </w:r>
    </w:p>
    <w:p w14:paraId="3AA56403">
      <w:pPr>
        <w:widowControl/>
        <w:spacing w:line="360" w:lineRule="auto"/>
        <w:ind w:firstLine="420"/>
        <w:jc w:val="left"/>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响应报价一次报定，包括承包期内物业管理服务的需要的服务人工</w:t>
      </w:r>
      <w:r>
        <w:rPr>
          <w:rFonts w:hint="eastAsia" w:ascii="宋体" w:hAnsi="宋体" w:eastAsia="宋体" w:cs="Times New Roman"/>
          <w:bCs/>
          <w:color w:val="auto"/>
          <w:sz w:val="24"/>
          <w:szCs w:val="24"/>
        </w:rPr>
        <w:t>及易耗品</w:t>
      </w:r>
      <w:r>
        <w:rPr>
          <w:rFonts w:hint="eastAsia" w:ascii="宋体" w:hAnsi="宋体" w:eastAsia="宋体" w:cs="宋体"/>
          <w:color w:val="auto"/>
          <w:sz w:val="24"/>
          <w:szCs w:val="24"/>
        </w:rPr>
        <w:t>、福利、保险、社保、利润、税金、政策性文件规定及合同包含的所有风险、责任等各项应有费用。</w:t>
      </w:r>
      <w:r>
        <w:rPr>
          <w:rFonts w:hint="eastAsia" w:ascii="宋体" w:hAnsi="宋体" w:eastAsia="宋体" w:cs="Times New Roman"/>
          <w:color w:val="auto"/>
          <w:sz w:val="24"/>
          <w:szCs w:val="24"/>
        </w:rPr>
        <w:t>投标人应当充分考虑服务内容及价格，保障本项目的服务品质。</w:t>
      </w:r>
    </w:p>
    <w:p w14:paraId="308076BD">
      <w:pPr>
        <w:widowControl/>
        <w:spacing w:line="360" w:lineRule="auto"/>
        <w:ind w:firstLine="42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中标单位必须按照《劳动法》及</w:t>
      </w:r>
      <w:r>
        <w:rPr>
          <w:rFonts w:hint="eastAsia" w:ascii="宋体" w:hAnsi="宋体" w:eastAsia="宋体" w:cs="宋体"/>
          <w:color w:val="auto"/>
          <w:sz w:val="24"/>
          <w:szCs w:val="24"/>
        </w:rPr>
        <w:t>相关</w:t>
      </w:r>
      <w:r>
        <w:rPr>
          <w:rFonts w:ascii="宋体" w:hAnsi="宋体" w:eastAsia="宋体" w:cs="宋体"/>
          <w:color w:val="auto"/>
          <w:sz w:val="24"/>
          <w:szCs w:val="24"/>
        </w:rPr>
        <w:t>规定配置工作人员数量，并支付工资、国假加班费和交纳正常的社会保险</w:t>
      </w:r>
      <w:r>
        <w:rPr>
          <w:rFonts w:hint="eastAsia" w:ascii="宋体" w:hAnsi="宋体" w:eastAsia="宋体" w:cs="宋体"/>
          <w:color w:val="auto"/>
          <w:sz w:val="24"/>
          <w:szCs w:val="24"/>
        </w:rPr>
        <w:t>；</w:t>
      </w:r>
      <w:r>
        <w:rPr>
          <w:rFonts w:ascii="宋体" w:hAnsi="宋体" w:eastAsia="宋体" w:cs="宋体"/>
          <w:color w:val="auto"/>
          <w:sz w:val="24"/>
          <w:szCs w:val="24"/>
        </w:rPr>
        <w:t>正常工作时间以外的加班费、法定节日的加班费按国家有关规定执行，投标单位须考虑在内。</w:t>
      </w:r>
    </w:p>
    <w:p w14:paraId="14499863">
      <w:pPr>
        <w:pStyle w:val="12"/>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中标人的用工要符合国家的相关规定，必须与招聘人员签订用工合同，并将合同复印件报给采购人，中标人派遣外包人员到采购人工作要出具介绍信或派工单，不得派遣内病退、退休人员，中标人要按照国家相关法律规定为招聘人员缴纳各项社会保险，每月缴纳的各项保险复印件要报给采购人；月工资收入不得低于当地政府最低工资标准。如未按照国家相关法律规定为招聘人员缴纳各项保险，发生任何的经济、法律纠纷和人身损害赔偿等，由中标人自行解决。因物业人员的责任造成业主财产损失的，由中标人负责赔偿。</w:t>
      </w:r>
    </w:p>
    <w:p w14:paraId="6687F49A">
      <w:pPr>
        <w:pStyle w:val="12"/>
        <w:spacing w:line="360" w:lineRule="auto"/>
        <w:ind w:firstLine="48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4.服务人</w:t>
      </w:r>
      <w:r>
        <w:rPr>
          <w:rFonts w:hint="eastAsia" w:ascii="宋体" w:hAnsi="宋体" w:cs="宋体"/>
          <w:color w:val="auto"/>
          <w:sz w:val="24"/>
          <w:szCs w:val="24"/>
          <w:highlight w:val="none"/>
          <w:lang w:val="en-US" w:eastAsia="zh-CN"/>
        </w:rPr>
        <w:t>员最高限价要求</w:t>
      </w:r>
    </w:p>
    <w:tbl>
      <w:tblPr>
        <w:tblStyle w:val="9"/>
        <w:tblW w:w="0" w:type="auto"/>
        <w:tblInd w:w="119"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795"/>
        <w:gridCol w:w="3870"/>
        <w:gridCol w:w="4279"/>
      </w:tblGrid>
      <w:tr w14:paraId="45E4951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B83B15">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b/>
                <w:color w:val="000000"/>
              </w:rPr>
              <w:t>序号</w:t>
            </w:r>
          </w:p>
        </w:tc>
        <w:tc>
          <w:tcPr>
            <w:tcW w:w="3870"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6F8EC7">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b/>
                <w:color w:val="000000"/>
              </w:rPr>
              <w:t>岗位名称</w:t>
            </w:r>
          </w:p>
        </w:tc>
        <w:tc>
          <w:tcPr>
            <w:tcW w:w="4279"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957420">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b/>
                <w:color w:val="000000"/>
              </w:rPr>
              <w:t>最高限价（元/人/月）</w:t>
            </w:r>
          </w:p>
        </w:tc>
      </w:tr>
      <w:tr w14:paraId="0BE9E28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D8FF2D">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1</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0168039A">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项目经理</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748320EF">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75</w:t>
            </w:r>
            <w:r>
              <w:rPr>
                <w:rFonts w:hint="eastAsia" w:ascii="宋体" w:hAnsi="宋体" w:cs="宋体"/>
                <w:color w:val="000000"/>
              </w:rPr>
              <w:t>00</w:t>
            </w:r>
          </w:p>
        </w:tc>
      </w:tr>
      <w:tr w14:paraId="746A047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488558">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eastAsiaTheme="minorEastAsia"/>
                <w:color w:val="000000"/>
                <w:lang w:val="en-US" w:eastAsia="zh-CN"/>
              </w:rPr>
            </w:pPr>
            <w:r>
              <w:rPr>
                <w:rFonts w:hint="eastAsia" w:ascii="宋体" w:hAnsi="宋体" w:cs="宋体"/>
                <w:color w:val="000000"/>
                <w:lang w:val="en-US" w:eastAsia="zh-CN"/>
              </w:rPr>
              <w:t>2</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07384110">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eastAsiaTheme="minorEastAsia"/>
                <w:color w:val="000000"/>
                <w:lang w:val="en-US" w:eastAsia="zh-CN"/>
              </w:rPr>
            </w:pPr>
            <w:r>
              <w:rPr>
                <w:rFonts w:hint="eastAsia" w:ascii="宋体" w:hAnsi="宋体" w:cs="宋体"/>
                <w:color w:val="000000"/>
                <w:lang w:val="en-US" w:eastAsia="zh-CN"/>
              </w:rPr>
              <w:t>消防监控</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1B7DC16B">
            <w:pPr>
              <w:pBdr>
                <w:top w:val="none" w:color="000000" w:sz="0" w:space="0"/>
                <w:left w:val="none" w:color="000000" w:sz="0" w:space="0"/>
                <w:bottom w:val="none" w:color="000000" w:sz="0" w:space="0"/>
                <w:right w:val="none" w:color="000000" w:sz="0" w:space="0"/>
              </w:pBdr>
              <w:spacing w:line="85" w:lineRule="atLeast"/>
              <w:jc w:val="center"/>
              <w:rPr>
                <w:rFonts w:hint="default" w:ascii="宋体" w:hAnsi="宋体" w:cs="宋体"/>
                <w:color w:val="000000"/>
                <w:lang w:val="en-US" w:eastAsia="zh-CN"/>
              </w:rPr>
            </w:pPr>
            <w:r>
              <w:rPr>
                <w:rFonts w:hint="eastAsia" w:ascii="宋体" w:hAnsi="宋体" w:cs="宋体"/>
                <w:color w:val="000000"/>
                <w:lang w:val="en-US" w:eastAsia="zh-CN"/>
              </w:rPr>
              <w:t>5500</w:t>
            </w:r>
          </w:p>
        </w:tc>
      </w:tr>
      <w:tr w14:paraId="4490BAF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013A30">
            <w:pPr>
              <w:pBdr>
                <w:top w:val="none" w:color="000000" w:sz="0" w:space="0"/>
                <w:left w:val="none" w:color="000000" w:sz="0" w:space="0"/>
                <w:bottom w:val="none" w:color="000000" w:sz="0" w:space="0"/>
                <w:right w:val="none" w:color="000000" w:sz="0" w:space="0"/>
              </w:pBdr>
              <w:spacing w:line="85" w:lineRule="atLeast"/>
              <w:jc w:val="center"/>
              <w:rPr>
                <w:rFonts w:hint="eastAsia" w:eastAsiaTheme="minorEastAsia"/>
                <w:lang w:eastAsia="zh-CN"/>
              </w:rPr>
            </w:pPr>
            <w:r>
              <w:rPr>
                <w:rFonts w:hint="eastAsia" w:ascii="宋体" w:hAnsi="宋体" w:cs="宋体"/>
                <w:color w:val="000000"/>
                <w:lang w:val="en-US" w:eastAsia="zh-CN"/>
              </w:rPr>
              <w:t>3</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739C1EA7">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秩序维护人员</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47DEBF2E">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500</w:t>
            </w:r>
            <w:r>
              <w:rPr>
                <w:rFonts w:hint="eastAsia" w:ascii="宋体" w:hAnsi="宋体" w:cs="宋体"/>
                <w:color w:val="000000"/>
              </w:rPr>
              <w:t>0</w:t>
            </w:r>
          </w:p>
        </w:tc>
      </w:tr>
      <w:tr w14:paraId="4C5D991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6716AC">
            <w:pPr>
              <w:pBdr>
                <w:top w:val="none" w:color="000000" w:sz="0" w:space="0"/>
                <w:left w:val="none" w:color="000000" w:sz="0" w:space="0"/>
                <w:bottom w:val="none" w:color="000000" w:sz="0" w:space="0"/>
                <w:right w:val="none" w:color="000000" w:sz="0" w:space="0"/>
              </w:pBdr>
              <w:spacing w:line="85" w:lineRule="atLeast"/>
              <w:jc w:val="center"/>
              <w:rPr>
                <w:rFonts w:hint="eastAsia" w:eastAsiaTheme="minorEastAsia"/>
                <w:lang w:eastAsia="zh-CN"/>
              </w:rPr>
            </w:pPr>
            <w:r>
              <w:rPr>
                <w:rFonts w:hint="eastAsia" w:ascii="宋体" w:hAnsi="宋体" w:cs="宋体"/>
                <w:color w:val="000000"/>
                <w:lang w:val="en-US" w:eastAsia="zh-CN"/>
              </w:rPr>
              <w:t>4</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42581FEB">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保洁人员</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20F21236">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45</w:t>
            </w:r>
            <w:r>
              <w:rPr>
                <w:rFonts w:ascii="宋体" w:hAnsi="宋体" w:cs="宋体"/>
                <w:color w:val="000000"/>
              </w:rPr>
              <w:t>00</w:t>
            </w:r>
          </w:p>
        </w:tc>
      </w:tr>
      <w:tr w14:paraId="3281E2A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15E415">
            <w:pPr>
              <w:pBdr>
                <w:top w:val="none" w:color="000000" w:sz="0" w:space="0"/>
                <w:left w:val="none" w:color="000000" w:sz="0" w:space="0"/>
                <w:bottom w:val="none" w:color="000000" w:sz="0" w:space="0"/>
                <w:right w:val="none" w:color="000000" w:sz="0" w:space="0"/>
              </w:pBdr>
              <w:spacing w:line="85" w:lineRule="atLeast"/>
              <w:jc w:val="center"/>
              <w:rPr>
                <w:rFonts w:hint="eastAsia" w:eastAsiaTheme="minorEastAsia"/>
                <w:lang w:eastAsia="zh-CN"/>
              </w:rPr>
            </w:pPr>
            <w:r>
              <w:rPr>
                <w:rFonts w:hint="eastAsia" w:ascii="宋体" w:hAnsi="宋体" w:cs="宋体"/>
                <w:color w:val="000000"/>
                <w:lang w:val="en-US" w:eastAsia="zh-CN"/>
              </w:rPr>
              <w:t>5</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7A2656D4">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接待（客服）</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4A69FBF6">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45</w:t>
            </w:r>
            <w:r>
              <w:rPr>
                <w:rFonts w:ascii="宋体" w:hAnsi="宋体" w:cs="宋体"/>
                <w:color w:val="000000"/>
              </w:rPr>
              <w:t>00</w:t>
            </w:r>
          </w:p>
        </w:tc>
      </w:tr>
      <w:tr w14:paraId="4E64339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D25FB2">
            <w:pPr>
              <w:pBdr>
                <w:top w:val="none" w:color="000000" w:sz="0" w:space="0"/>
                <w:left w:val="none" w:color="000000" w:sz="0" w:space="0"/>
                <w:bottom w:val="none" w:color="000000" w:sz="0" w:space="0"/>
                <w:right w:val="none" w:color="000000" w:sz="0" w:space="0"/>
              </w:pBdr>
              <w:spacing w:line="85" w:lineRule="atLeast"/>
              <w:jc w:val="center"/>
              <w:rPr>
                <w:rFonts w:hint="eastAsia" w:eastAsiaTheme="minorEastAsia"/>
                <w:lang w:eastAsia="zh-CN"/>
              </w:rPr>
            </w:pPr>
            <w:r>
              <w:rPr>
                <w:rFonts w:hint="eastAsia" w:ascii="宋体" w:hAnsi="宋体" w:cs="宋体"/>
                <w:color w:val="000000"/>
                <w:lang w:val="en-US" w:eastAsia="zh-CN"/>
              </w:rPr>
              <w:t>6</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5552C3BB">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维修人员</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03992C45">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50</w:t>
            </w:r>
            <w:r>
              <w:rPr>
                <w:rFonts w:ascii="宋体" w:hAnsi="宋体" w:cs="宋体"/>
                <w:color w:val="000000"/>
              </w:rPr>
              <w:t>00</w:t>
            </w:r>
          </w:p>
        </w:tc>
      </w:tr>
      <w:tr w14:paraId="711BA18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A2CB40">
            <w:pPr>
              <w:pBdr>
                <w:top w:val="none" w:color="000000" w:sz="0" w:space="0"/>
                <w:left w:val="none" w:color="000000" w:sz="0" w:space="0"/>
                <w:bottom w:val="none" w:color="000000" w:sz="0" w:space="0"/>
                <w:right w:val="none" w:color="000000" w:sz="0" w:space="0"/>
              </w:pBdr>
              <w:spacing w:line="85" w:lineRule="atLeast"/>
              <w:jc w:val="center"/>
              <w:rPr>
                <w:rFonts w:hint="eastAsia" w:eastAsiaTheme="minorEastAsia"/>
                <w:lang w:eastAsia="zh-CN"/>
              </w:rPr>
            </w:pPr>
            <w:r>
              <w:rPr>
                <w:rFonts w:hint="eastAsia" w:ascii="宋体" w:hAnsi="宋体" w:cs="宋体"/>
                <w:color w:val="000000"/>
                <w:lang w:val="en-US" w:eastAsia="zh-CN"/>
              </w:rPr>
              <w:t>7</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5FB494C9">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其他人员（绿化、副厨、勤杂工等）</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12A046EE">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45</w:t>
            </w:r>
            <w:r>
              <w:rPr>
                <w:rFonts w:ascii="宋体" w:hAnsi="宋体" w:cs="宋体"/>
                <w:color w:val="000000"/>
              </w:rPr>
              <w:t>00</w:t>
            </w:r>
          </w:p>
        </w:tc>
      </w:tr>
    </w:tbl>
    <w:p w14:paraId="2C86D130">
      <w:pPr>
        <w:pBdr>
          <w:top w:val="none" w:color="000000" w:sz="0" w:space="0"/>
          <w:left w:val="none" w:color="000000" w:sz="0" w:space="0"/>
          <w:bottom w:val="none" w:color="000000" w:sz="0" w:space="0"/>
          <w:right w:val="none" w:color="000000" w:sz="0" w:space="0"/>
        </w:pBdr>
        <w:rPr>
          <w:rFonts w:ascii="宋体" w:hAnsi="宋体" w:cs="宋体"/>
          <w:b/>
          <w:color w:val="000000"/>
          <w:sz w:val="22"/>
        </w:rPr>
      </w:pPr>
      <w:r>
        <w:rPr>
          <w:rFonts w:ascii="宋体" w:hAnsi="宋体" w:cs="宋体"/>
          <w:color w:val="000000"/>
          <w:sz w:val="22"/>
        </w:rPr>
        <w:t>注：</w:t>
      </w:r>
      <w:r>
        <w:rPr>
          <w:rFonts w:hint="eastAsia" w:ascii="宋体" w:hAnsi="宋体" w:cs="宋体"/>
          <w:b/>
          <w:bCs/>
          <w:color w:val="000000"/>
          <w:sz w:val="22"/>
        </w:rPr>
        <w:t>响应报价一次报定，包括承包期内物业管理服务的需要的服务人工及易耗品、福利、保险、社保、利润、税金、政策性文件规定及合同包含的所有风险、责任等各项应有费用。</w:t>
      </w:r>
      <w:r>
        <w:rPr>
          <w:rFonts w:ascii="宋体" w:hAnsi="宋体" w:cs="宋体"/>
          <w:b/>
          <w:color w:val="000000"/>
          <w:sz w:val="22"/>
        </w:rPr>
        <w:t>投标人对各岗位人员的报价不得超过本表中的最高限价，否则将被视为无效投标。</w:t>
      </w:r>
    </w:p>
    <w:p w14:paraId="2A9BCD9D">
      <w:pPr>
        <w:spacing w:line="360" w:lineRule="auto"/>
        <w:ind w:firstLine="561"/>
        <w:rPr>
          <w:i/>
          <w:iCs/>
          <w:highlight w:val="none"/>
          <w:u w:val="single"/>
        </w:rPr>
      </w:pPr>
      <w:r>
        <w:rPr>
          <w:rFonts w:hint="eastAsia" w:ascii="宋体" w:hAnsi="宋体" w:eastAsia="宋体" w:cs="Times New Roman"/>
          <w:bCs/>
          <w:i/>
          <w:iCs/>
          <w:color w:val="000000"/>
          <w:sz w:val="24"/>
          <w:szCs w:val="24"/>
          <w:highlight w:val="none"/>
          <w:u w:val="single"/>
        </w:rPr>
        <w:t>供应商须提供承诺服从征集人管理要求，须针对本项目指派专人负责日常管理及联络工作。（提供相关人员联系方式及承诺函，格式自拟加盖投标人电子签章，不提供的作无效文件处理）</w:t>
      </w:r>
    </w:p>
    <w:p w14:paraId="1C7BCEF0">
      <w:pPr>
        <w:pStyle w:val="5"/>
        <w:numPr>
          <w:ilvl w:val="1"/>
          <w:numId w:val="0"/>
        </w:numPr>
        <w:spacing w:before="0" w:after="0" w:line="360" w:lineRule="auto"/>
        <w:ind w:firstLine="480"/>
        <w:jc w:val="left"/>
        <w:rPr>
          <w:rFonts w:ascii="黑体" w:hAnsi="黑体" w:eastAsia="黑体" w:cs="宋体"/>
          <w:b w:val="0"/>
          <w:bCs w:val="0"/>
          <w:color w:val="000000"/>
          <w:sz w:val="24"/>
          <w:szCs w:val="24"/>
        </w:rPr>
      </w:pPr>
      <w:r>
        <w:rPr>
          <w:rFonts w:hint="eastAsia" w:ascii="黑体" w:hAnsi="黑体" w:eastAsia="黑体" w:cs="宋体"/>
          <w:b w:val="0"/>
          <w:bCs w:val="0"/>
          <w:color w:val="000000"/>
          <w:sz w:val="24"/>
          <w:szCs w:val="24"/>
          <w:lang w:val="en-US" w:eastAsia="zh-CN"/>
        </w:rPr>
        <w:t>五</w:t>
      </w:r>
      <w:r>
        <w:rPr>
          <w:rFonts w:hint="eastAsia" w:ascii="黑体" w:hAnsi="黑体" w:eastAsia="黑体" w:cs="宋体"/>
          <w:b w:val="0"/>
          <w:bCs w:val="0"/>
          <w:color w:val="000000"/>
          <w:sz w:val="24"/>
          <w:szCs w:val="24"/>
        </w:rPr>
        <w:t>、框架协议合同授予</w:t>
      </w:r>
    </w:p>
    <w:p w14:paraId="0CF53086">
      <w:pPr>
        <w:spacing w:line="360" w:lineRule="auto"/>
        <w:ind w:firstLine="48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1.确定第二阶段成交供应商应当由采购人或者服务对象依据入围产品价格、质量以及服务便利性、用户评价等因素，从第一阶段入围供应商中直接选定。</w:t>
      </w:r>
    </w:p>
    <w:p w14:paraId="132361F1">
      <w:pPr>
        <w:pStyle w:val="7"/>
        <w:spacing w:line="360" w:lineRule="auto"/>
        <w:ind w:firstLine="480" w:firstLineChars="200"/>
      </w:pPr>
      <w:r>
        <w:rPr>
          <w:rFonts w:hint="eastAsia" w:ascii="宋体" w:hAnsi="宋体" w:eastAsia="宋体" w:cs="宋体"/>
          <w:sz w:val="24"/>
          <w:szCs w:val="24"/>
          <w:lang w:val="en-US" w:eastAsia="zh-CN"/>
        </w:rPr>
        <w:t>2.</w:t>
      </w:r>
      <w:r>
        <w:rPr>
          <w:rFonts w:hint="eastAsia" w:ascii="宋体" w:hAnsi="宋体" w:eastAsia="宋体" w:cs="宋体"/>
          <w:sz w:val="24"/>
          <w:szCs w:val="24"/>
        </w:rPr>
        <w:t>物业管理服务工作所需工具用具、低值易耗品等均由供应商自行承担，相关费用综合考虑在人员报价中。其余耗材等由采购人承担，服务供应商根据需要按月提报使用计划，经采购人审核后安排使用。</w:t>
      </w:r>
    </w:p>
    <w:p w14:paraId="26B9E4FA">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rPr>
        <w:t>.采购人原则上不得采购框架协议采购范围以外的产品或服务。如框架协议范围内产品或服务确实无法满足采购人的工作需要，按照同级财政部门规定执行。</w:t>
      </w:r>
    </w:p>
    <w:p w14:paraId="53ED8585">
      <w:pPr>
        <w:pStyle w:val="5"/>
        <w:numPr>
          <w:ilvl w:val="1"/>
          <w:numId w:val="0"/>
        </w:numPr>
        <w:spacing w:before="0" w:after="0" w:line="360" w:lineRule="auto"/>
        <w:ind w:firstLine="480"/>
        <w:jc w:val="left"/>
        <w:rPr>
          <w:rFonts w:ascii="黑体" w:hAnsi="黑体" w:eastAsia="黑体" w:cs="宋体"/>
          <w:b w:val="0"/>
          <w:bCs w:val="0"/>
          <w:color w:val="000000"/>
          <w:sz w:val="24"/>
          <w:szCs w:val="24"/>
        </w:rPr>
      </w:pPr>
      <w:r>
        <w:rPr>
          <w:rFonts w:hint="eastAsia" w:ascii="黑体" w:hAnsi="黑体" w:eastAsia="黑体" w:cs="宋体"/>
          <w:b w:val="0"/>
          <w:bCs w:val="0"/>
          <w:color w:val="000000"/>
          <w:sz w:val="24"/>
          <w:szCs w:val="24"/>
          <w:lang w:val="en-US" w:eastAsia="zh-CN"/>
        </w:rPr>
        <w:t>六</w:t>
      </w:r>
      <w:r>
        <w:rPr>
          <w:rFonts w:hint="eastAsia" w:ascii="黑体" w:hAnsi="黑体" w:eastAsia="黑体" w:cs="宋体"/>
          <w:b w:val="0"/>
          <w:bCs w:val="0"/>
          <w:color w:val="000000"/>
          <w:sz w:val="24"/>
          <w:szCs w:val="24"/>
        </w:rPr>
        <w:t>、入围供应商的清退和补充规则</w:t>
      </w:r>
    </w:p>
    <w:p w14:paraId="4BC18C3F">
      <w:pPr>
        <w:spacing w:line="360" w:lineRule="auto"/>
        <w:ind w:firstLine="482"/>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1</w:t>
      </w:r>
      <w:r>
        <w:rPr>
          <w:rFonts w:ascii="宋体" w:hAnsi="宋体" w:eastAsia="宋体" w:cs="Times New Roman"/>
          <w:b/>
          <w:bCs/>
          <w:color w:val="000000"/>
          <w:sz w:val="24"/>
          <w:szCs w:val="24"/>
        </w:rPr>
        <w:t>.</w:t>
      </w:r>
      <w:r>
        <w:rPr>
          <w:rFonts w:hint="eastAsia" w:ascii="宋体" w:hAnsi="宋体" w:eastAsia="宋体" w:cs="Times New Roman"/>
          <w:b/>
          <w:bCs/>
          <w:color w:val="000000"/>
          <w:sz w:val="24"/>
          <w:szCs w:val="24"/>
        </w:rPr>
        <w:t>入围供应商清退规则</w:t>
      </w:r>
    </w:p>
    <w:p w14:paraId="70CFB4D3">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入围供应商有下列情形之一，尚未签订框架协议的，取消其入围资格；已经签订框架协议的，解除与其签订的框架协议：</w:t>
      </w:r>
    </w:p>
    <w:p w14:paraId="35CC12B7">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（1）恶意串通谋取入围或者合同成交的；</w:t>
      </w:r>
    </w:p>
    <w:p w14:paraId="17F7F1E6">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（2）提供虚假材料谋取入围或者合同成交的；</w:t>
      </w:r>
    </w:p>
    <w:p w14:paraId="3ED1B641">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（3）无正当理由拒不接受合同授予的；</w:t>
      </w:r>
    </w:p>
    <w:p w14:paraId="359EDB9E">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（4）不履行合同义务或者履行合同义务不符合约定，经采购人请求履行后仍不履行或者仍未按约定履行的；</w:t>
      </w:r>
    </w:p>
    <w:p w14:paraId="0E26765D">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（5）框架协议有效期内，</w:t>
      </w:r>
      <w:r>
        <w:rPr>
          <w:rFonts w:ascii="宋体" w:hAnsi="宋体" w:eastAsia="宋体" w:cs="Times New Roman"/>
          <w:bCs/>
          <w:color w:val="000000"/>
          <w:sz w:val="24"/>
          <w:szCs w:val="24"/>
        </w:rPr>
        <w:t>对掌握并查实的不具备履行本项目合同能力的；</w:t>
      </w:r>
    </w:p>
    <w:p w14:paraId="0210282E">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（6）框架协议有效期内，因违法行为被禁止或限制参加政府采购活动的；</w:t>
      </w:r>
    </w:p>
    <w:p w14:paraId="25479ED5">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（7）框架协议约定的其他情形。</w:t>
      </w:r>
    </w:p>
    <w:p w14:paraId="23AE9FE1">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被取消入围资格或者被解除框架协议的供应商不得参加同一封闭式框架协议补充征集。</w:t>
      </w:r>
    </w:p>
    <w:p w14:paraId="609D2D76">
      <w:pPr>
        <w:spacing w:line="360" w:lineRule="auto"/>
        <w:ind w:firstLine="482"/>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2</w:t>
      </w:r>
      <w:r>
        <w:rPr>
          <w:rFonts w:ascii="宋体" w:hAnsi="宋体" w:eastAsia="宋体" w:cs="Times New Roman"/>
          <w:b/>
          <w:bCs/>
          <w:color w:val="000000"/>
          <w:sz w:val="24"/>
          <w:szCs w:val="24"/>
        </w:rPr>
        <w:t>.</w:t>
      </w:r>
      <w:r>
        <w:rPr>
          <w:rFonts w:hint="eastAsia" w:ascii="宋体" w:hAnsi="宋体" w:eastAsia="宋体" w:cs="Times New Roman"/>
          <w:b/>
          <w:bCs/>
          <w:color w:val="000000"/>
          <w:sz w:val="24"/>
          <w:szCs w:val="24"/>
        </w:rPr>
        <w:t>入围供应商补充规则</w:t>
      </w:r>
    </w:p>
    <w:p w14:paraId="565478F6">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如出现剩余入围供应商不足入围供应商总数70%且影响框协议执行的情况，征集人有权启动补充征集程序，补充征集遵守原框架协议有效期。补充征集期间，原框架协议继续履行。</w:t>
      </w:r>
    </w:p>
    <w:p w14:paraId="5B30CA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70DE"/>
    <w:multiLevelType w:val="singleLevel"/>
    <w:tmpl w:val="9E3370DE"/>
    <w:lvl w:ilvl="0" w:tentative="0">
      <w:start w:val="1"/>
      <w:numFmt w:val="chineseCounting"/>
      <w:suff w:val="nothing"/>
      <w:lvlText w:val="（%1）"/>
      <w:lvlJc w:val="left"/>
      <w:rPr>
        <w:rFonts w:hint="eastAsia"/>
      </w:rPr>
    </w:lvl>
  </w:abstractNum>
  <w:abstractNum w:abstractNumId="1">
    <w:nsid w:val="9EE13EE5"/>
    <w:multiLevelType w:val="singleLevel"/>
    <w:tmpl w:val="9EE13EE5"/>
    <w:lvl w:ilvl="0" w:tentative="0">
      <w:start w:val="2"/>
      <w:numFmt w:val="decimal"/>
      <w:lvlText w:val="%1."/>
      <w:lvlJc w:val="left"/>
      <w:pPr>
        <w:tabs>
          <w:tab w:val="left" w:pos="312"/>
        </w:tabs>
      </w:pPr>
    </w:lvl>
  </w:abstractNum>
  <w:abstractNum w:abstractNumId="2">
    <w:nsid w:val="CF092B84"/>
    <w:multiLevelType w:val="multilevel"/>
    <w:tmpl w:val="CF092B84"/>
    <w:lvl w:ilvl="0" w:tentative="0">
      <w:start w:val="1"/>
      <w:numFmt w:val="bullet"/>
      <w:pStyle w:val="17"/>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3">
    <w:nsid w:val="0748B188"/>
    <w:multiLevelType w:val="singleLevel"/>
    <w:tmpl w:val="0748B188"/>
    <w:lvl w:ilvl="0" w:tentative="0">
      <w:start w:val="1"/>
      <w:numFmt w:val="decimal"/>
      <w:suff w:val="nothing"/>
      <w:lvlText w:val="（%1）"/>
      <w:lvlJc w:val="left"/>
    </w:lvl>
  </w:abstractNum>
  <w:abstractNum w:abstractNumId="4">
    <w:nsid w:val="136BC088"/>
    <w:multiLevelType w:val="singleLevel"/>
    <w:tmpl w:val="136BC088"/>
    <w:lvl w:ilvl="0" w:tentative="0">
      <w:start w:val="3"/>
      <w:numFmt w:val="chineseCounting"/>
      <w:suff w:val="nothing"/>
      <w:lvlText w:val="%1、"/>
      <w:lvlJc w:val="left"/>
      <w:rPr>
        <w:rFonts w:hint="eastAsia"/>
      </w:rPr>
    </w:lvl>
  </w:abstractNum>
  <w:abstractNum w:abstractNumId="5">
    <w:nsid w:val="4A7F0C54"/>
    <w:multiLevelType w:val="singleLevel"/>
    <w:tmpl w:val="4A7F0C54"/>
    <w:lvl w:ilvl="0" w:tentative="0">
      <w:start w:val="1"/>
      <w:numFmt w:val="decimal"/>
      <w:suff w:val="nothing"/>
      <w:lvlText w:val="（%1）"/>
      <w:lvlJc w:val="left"/>
    </w:lvl>
  </w:abstractNum>
  <w:abstractNum w:abstractNumId="6">
    <w:nsid w:val="79778DA1"/>
    <w:multiLevelType w:val="singleLevel"/>
    <w:tmpl w:val="79778DA1"/>
    <w:lvl w:ilvl="0" w:tentative="0">
      <w:start w:val="2"/>
      <w:numFmt w:val="decimal"/>
      <w:lvlText w:val="%1."/>
      <w:lvlJc w:val="left"/>
      <w:pPr>
        <w:tabs>
          <w:tab w:val="left" w:pos="312"/>
        </w:tabs>
      </w:pPr>
    </w:lvl>
  </w:abstractNum>
  <w:abstractNum w:abstractNumId="7">
    <w:nsid w:val="7A90B2AE"/>
    <w:multiLevelType w:val="singleLevel"/>
    <w:tmpl w:val="7A90B2AE"/>
    <w:lvl w:ilvl="0" w:tentative="0">
      <w:start w:val="1"/>
      <w:numFmt w:val="decimal"/>
      <w:suff w:val="nothing"/>
      <w:lvlText w:val="（%1）"/>
      <w:lvlJc w:val="left"/>
    </w:lvl>
  </w:abstractNum>
  <w:num w:numId="1">
    <w:abstractNumId w:val="2"/>
  </w:num>
  <w:num w:numId="2">
    <w:abstractNumId w:val="1"/>
  </w:num>
  <w:num w:numId="3">
    <w:abstractNumId w:val="0"/>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91D31"/>
    <w:rsid w:val="0089346D"/>
    <w:rsid w:val="076B5857"/>
    <w:rsid w:val="0D441939"/>
    <w:rsid w:val="17A21112"/>
    <w:rsid w:val="1EBE6904"/>
    <w:rsid w:val="30A91D31"/>
    <w:rsid w:val="30B55C11"/>
    <w:rsid w:val="33541711"/>
    <w:rsid w:val="3ACE07FD"/>
    <w:rsid w:val="3BE60A54"/>
    <w:rsid w:val="41A4543F"/>
    <w:rsid w:val="452A0524"/>
    <w:rsid w:val="532A7941"/>
    <w:rsid w:val="54534C76"/>
    <w:rsid w:val="5D951D7A"/>
    <w:rsid w:val="5DD22584"/>
    <w:rsid w:val="627D1FD3"/>
    <w:rsid w:val="62E95123"/>
    <w:rsid w:val="66296B3B"/>
    <w:rsid w:val="6F912DCA"/>
    <w:rsid w:val="70D311C0"/>
    <w:rsid w:val="73441F01"/>
    <w:rsid w:val="74647AEF"/>
    <w:rsid w:val="766D176F"/>
    <w:rsid w:val="78CD4747"/>
    <w:rsid w:val="79BD767D"/>
    <w:rsid w:val="7CFB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11"/>
    <w:basedOn w:val="3"/>
    <w:qFormat/>
    <w:uiPriority w:val="0"/>
    <w:pPr>
      <w:spacing w:line="360" w:lineRule="auto"/>
      <w:ind w:firstLine="200"/>
    </w:pPr>
    <w:rPr>
      <w:rFonts w:ascii="仿宋_GB2312" w:eastAsia="仿宋_GB2312"/>
      <w:sz w:val="30"/>
      <w:szCs w:val="30"/>
    </w:rPr>
  </w:style>
  <w:style w:type="paragraph" w:customStyle="1" w:styleId="3">
    <w:name w:val="正文文本1"/>
    <w:basedOn w:val="1"/>
    <w:next w:val="1"/>
    <w:qFormat/>
    <w:uiPriority w:val="0"/>
    <w:rPr>
      <w:rFonts w:ascii="楷体_GB2312" w:hAnsi="Arial" w:eastAsia="楷体_GB2312"/>
      <w:sz w:val="28"/>
      <w:szCs w:val="28"/>
    </w:rPr>
  </w:style>
  <w:style w:type="paragraph" w:styleId="6">
    <w:name w:val="Normal Indent"/>
    <w:basedOn w:val="1"/>
    <w:next w:val="1"/>
    <w:qFormat/>
    <w:uiPriority w:val="0"/>
    <w:pPr>
      <w:ind w:left="420" w:firstLine="4772"/>
    </w:pPr>
  </w:style>
  <w:style w:type="paragraph" w:styleId="7">
    <w:name w:val="annotation text"/>
    <w:basedOn w:val="1"/>
    <w:qFormat/>
    <w:uiPriority w:val="0"/>
    <w:pPr>
      <w:jc w:val="left"/>
    </w:pPr>
  </w:style>
  <w:style w:type="paragraph" w:styleId="8">
    <w:name w:val="Body Text"/>
    <w:basedOn w:val="1"/>
    <w:qFormat/>
    <w:uiPriority w:val="0"/>
    <w:pPr>
      <w:ind w:firstLine="2560"/>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Default"/>
    <w:qFormat/>
    <w:uiPriority w:val="99"/>
    <w:pPr>
      <w:widowControl w:val="0"/>
    </w:pPr>
    <w:rPr>
      <w:rFonts w:hint="default" w:ascii="MS Mincho" w:hAnsi="Calibri" w:eastAsia="宋体" w:cs="Times New Roman"/>
      <w:color w:val="000000"/>
      <w:sz w:val="21"/>
      <w:szCs w:val="24"/>
      <w:lang w:val="en-US" w:eastAsia="zh-CN" w:bidi="ar-SA"/>
    </w:rPr>
  </w:style>
  <w:style w:type="character" w:customStyle="1" w:styleId="13">
    <w:name w:val="font171"/>
    <w:basedOn w:val="11"/>
    <w:qFormat/>
    <w:uiPriority w:val="0"/>
    <w:rPr>
      <w:rFonts w:hint="eastAsia" w:ascii="宋体" w:hAnsi="宋体" w:eastAsia="宋体" w:cs="宋体"/>
      <w:color w:val="000000"/>
      <w:sz w:val="24"/>
      <w:szCs w:val="24"/>
      <w:u w:val="none"/>
    </w:rPr>
  </w:style>
  <w:style w:type="character" w:customStyle="1" w:styleId="14">
    <w:name w:val="font181"/>
    <w:basedOn w:val="11"/>
    <w:qFormat/>
    <w:uiPriority w:val="0"/>
    <w:rPr>
      <w:rFonts w:ascii="黑体" w:hAnsi="宋体" w:eastAsia="黑体" w:cs="黑体"/>
      <w:color w:val="000000"/>
      <w:sz w:val="24"/>
      <w:szCs w:val="24"/>
      <w:u w:val="none"/>
    </w:rPr>
  </w:style>
  <w:style w:type="paragraph" w:customStyle="1" w:styleId="15">
    <w:name w:val="Table Text"/>
    <w:basedOn w:val="1"/>
    <w:semiHidden/>
    <w:qFormat/>
    <w:uiPriority w:val="0"/>
    <w:rPr>
      <w:rFonts w:ascii="宋体" w:hAnsi="宋体" w:eastAsia="宋体" w:cs="宋体"/>
      <w:sz w:val="15"/>
      <w:szCs w:val="15"/>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表项目符号 21"/>
    <w:basedOn w:val="1"/>
    <w:unhideWhenUsed/>
    <w:qFormat/>
    <w:uiPriority w:val="99"/>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3228</Words>
  <Characters>3365</Characters>
  <Lines>0</Lines>
  <Paragraphs>0</Paragraphs>
  <TotalTime>0</TotalTime>
  <ScaleCrop>false</ScaleCrop>
  <LinksUpToDate>false</LinksUpToDate>
  <CharactersWithSpaces>3370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2025-01-21T08:42:00Z</dcterms:created>
  <dc:creator>Carry</dc:creator>
  <cp:lastModifiedBy>Carry</cp:lastModifiedBy>
  <cp:lastPrinted>2025-03-03T01:00:58Z</cp:lastPrinted>
  <dcterms:modified xsi:type="dcterms:W3CDTF">2025-03-03T01:07:55Z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D2075722BEBE4E47AB86E4D8E55874A4_11</vt:lpwstr>
  </property>
  <property fmtid="{D5CDD505-2E9C-101B-9397-08002B2CF9AE}" pid="4" name="KSOTemplateDocerSaveRecord">
    <vt:lpwstr>eyJoZGlkIjoiNjM3ZjkwMzQ4MmMwODEzYTQwYzgxMDJiNmU5ZGE3YmUiLCJ1c2VySWQiOiIyNzY5NTY4MDAifQ==</vt:lpwstr>
  </property>
</Properties>
</file>