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229" w:rsidRPr="00620229" w:rsidRDefault="00620229" w:rsidP="00B51BDB">
      <w:pPr>
        <w:pStyle w:val="ac"/>
        <w:widowControl/>
        <w:spacing w:before="0" w:beforeAutospacing="0" w:after="0" w:afterAutospacing="0" w:line="560" w:lineRule="exact"/>
        <w:jc w:val="both"/>
        <w:rPr>
          <w:rFonts w:ascii="黑体" w:eastAsia="黑体" w:hAnsi="黑体" w:cs="方正仿宋_GBK"/>
          <w:kern w:val="21"/>
          <w:sz w:val="32"/>
        </w:rPr>
      </w:pPr>
      <w:bookmarkStart w:id="0" w:name="_GoBack"/>
      <w:bookmarkEnd w:id="0"/>
      <w:r w:rsidRPr="00620229">
        <w:rPr>
          <w:rFonts w:ascii="黑体" w:eastAsia="黑体" w:hAnsi="黑体" w:cs="方正黑体_GBK" w:hint="eastAsia"/>
          <w:bCs/>
          <w:kern w:val="21"/>
          <w:sz w:val="32"/>
        </w:rPr>
        <w:t>附件1</w:t>
      </w:r>
    </w:p>
    <w:p w:rsidR="00620229" w:rsidRPr="00256E72" w:rsidRDefault="00620229" w:rsidP="00B51BDB">
      <w:pPr>
        <w:pStyle w:val="ac"/>
        <w:widowControl/>
        <w:spacing w:before="0" w:beforeAutospacing="0" w:after="0" w:afterAutospacing="0" w:line="570" w:lineRule="exact"/>
        <w:jc w:val="both"/>
        <w:rPr>
          <w:rFonts w:ascii="仿宋" w:eastAsia="仿宋" w:hAnsi="仿宋" w:cs="方正仿宋_GBK"/>
          <w:kern w:val="21"/>
          <w:sz w:val="32"/>
        </w:rPr>
      </w:pPr>
      <w:r w:rsidRPr="00256E72">
        <w:rPr>
          <w:rFonts w:ascii="仿宋" w:eastAsia="仿宋" w:hAnsi="仿宋" w:cs="方正仿宋_GBK" w:hint="eastAsia"/>
          <w:kern w:val="21"/>
          <w:sz w:val="32"/>
        </w:rPr>
        <w:t xml:space="preserve">   </w:t>
      </w:r>
    </w:p>
    <w:p w:rsidR="00620229" w:rsidRPr="00620229" w:rsidRDefault="00620229" w:rsidP="00B51BDB">
      <w:pPr>
        <w:pStyle w:val="ac"/>
        <w:widowControl/>
        <w:spacing w:before="0" w:beforeAutospacing="0" w:after="0" w:afterAutospacing="0" w:line="570" w:lineRule="exact"/>
        <w:jc w:val="center"/>
        <w:rPr>
          <w:rFonts w:ascii="方正小标宋_GBK" w:eastAsia="方正小标宋_GBK" w:hAnsi="仿宋" w:cs="方正小标宋_GBK"/>
          <w:kern w:val="21"/>
          <w:sz w:val="44"/>
          <w:szCs w:val="44"/>
        </w:rPr>
      </w:pPr>
      <w:r w:rsidRPr="00620229">
        <w:rPr>
          <w:rFonts w:ascii="方正小标宋_GBK" w:eastAsia="方正小标宋_GBK" w:hAnsi="仿宋" w:cs="方正小标宋_GBK" w:hint="eastAsia"/>
          <w:kern w:val="21"/>
          <w:sz w:val="44"/>
          <w:szCs w:val="44"/>
        </w:rPr>
        <w:t>全市工程建设领域招标投标典型案例要求</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p>
    <w:p w:rsidR="00620229" w:rsidRPr="00256E72" w:rsidRDefault="00620229" w:rsidP="00B51BDB">
      <w:pPr>
        <w:pStyle w:val="ac"/>
        <w:widowControl/>
        <w:spacing w:before="0" w:beforeAutospacing="0" w:after="0" w:afterAutospacing="0" w:line="570" w:lineRule="exact"/>
        <w:ind w:firstLineChars="200" w:firstLine="643"/>
        <w:jc w:val="both"/>
        <w:rPr>
          <w:rFonts w:ascii="仿宋" w:eastAsia="仿宋" w:hAnsi="仿宋" w:cs="方正黑体_GBK"/>
          <w:b/>
          <w:bCs/>
          <w:kern w:val="21"/>
          <w:sz w:val="32"/>
        </w:rPr>
      </w:pPr>
      <w:r w:rsidRPr="00256E72">
        <w:rPr>
          <w:rFonts w:ascii="仿宋" w:eastAsia="仿宋" w:hAnsi="仿宋" w:cs="方正黑体_GBK" w:hint="eastAsia"/>
          <w:b/>
          <w:bCs/>
          <w:kern w:val="21"/>
          <w:sz w:val="32"/>
        </w:rPr>
        <w:t>一、案例内容</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包括标题、案例回顾、办理结果、思考与启示、法律依据五部分。</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标题：一事一议，题目自拟。</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案例回顾：案情介绍、争议焦点。</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办理结果：事实认定、法律适用、查处过程、办理结果。</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思考与启示：对案例的难点、疑点、争议点进行评析，分析成功经验或反面教训。</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法律依据：法律法规等具体条款内容。</w:t>
      </w:r>
    </w:p>
    <w:p w:rsidR="00620229" w:rsidRPr="00256E72" w:rsidRDefault="00620229" w:rsidP="00B51BDB">
      <w:pPr>
        <w:pStyle w:val="ac"/>
        <w:widowControl/>
        <w:spacing w:before="0" w:beforeAutospacing="0" w:after="0" w:afterAutospacing="0" w:line="570" w:lineRule="exact"/>
        <w:ind w:firstLineChars="200" w:firstLine="643"/>
        <w:jc w:val="both"/>
        <w:rPr>
          <w:rFonts w:ascii="仿宋" w:eastAsia="仿宋" w:hAnsi="仿宋" w:cs="方正黑体_GBK"/>
          <w:b/>
          <w:bCs/>
          <w:kern w:val="21"/>
          <w:sz w:val="32"/>
        </w:rPr>
      </w:pPr>
      <w:r w:rsidRPr="00256E72">
        <w:rPr>
          <w:rFonts w:ascii="仿宋" w:eastAsia="仿宋" w:hAnsi="仿宋" w:cs="方正黑体_GBK" w:hint="eastAsia"/>
          <w:b/>
          <w:bCs/>
          <w:kern w:val="21"/>
          <w:sz w:val="32"/>
        </w:rPr>
        <w:t>二、案例要求</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案例材料应以事实为基础，不得杜撰、移植或抄袭；案例应已经办理完成，准备开展和正在开展的不参加征集和评选活动；案例要分析透彻，体现较高的招投标专业水平，对同类案例具有积极的借鉴性和指导性。</w:t>
      </w:r>
    </w:p>
    <w:p w:rsidR="00620229" w:rsidRPr="00256E72" w:rsidRDefault="00620229" w:rsidP="00B51BDB">
      <w:pPr>
        <w:pStyle w:val="ac"/>
        <w:widowControl/>
        <w:spacing w:before="0" w:beforeAutospacing="0" w:after="0" w:afterAutospacing="0" w:line="570" w:lineRule="exact"/>
        <w:ind w:firstLineChars="200" w:firstLine="643"/>
        <w:jc w:val="both"/>
        <w:rPr>
          <w:rFonts w:ascii="仿宋" w:eastAsia="仿宋" w:hAnsi="仿宋" w:cs="方正仿宋_GBK"/>
          <w:kern w:val="21"/>
          <w:sz w:val="32"/>
        </w:rPr>
      </w:pPr>
      <w:r w:rsidRPr="00256E72">
        <w:rPr>
          <w:rFonts w:ascii="仿宋" w:eastAsia="仿宋" w:hAnsi="仿宋" w:cs="方正黑体_GBK" w:hint="eastAsia"/>
          <w:b/>
          <w:bCs/>
          <w:kern w:val="21"/>
          <w:sz w:val="32"/>
        </w:rPr>
        <w:t>三、文字要求</w:t>
      </w:r>
    </w:p>
    <w:p w:rsidR="00620229" w:rsidRPr="00256E72" w:rsidRDefault="00620229" w:rsidP="00B51BDB">
      <w:pPr>
        <w:pStyle w:val="ac"/>
        <w:widowControl/>
        <w:spacing w:before="0" w:beforeAutospacing="0" w:after="0" w:afterAutospacing="0" w:line="57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案例正文以2000字左右为宜，表述通畅、逻辑清晰、结构完整、文字简洁，涉及姓名、地址、单位等隐私的内容作技术性处理。</w:t>
      </w:r>
    </w:p>
    <w:p w:rsidR="00620229" w:rsidRPr="00620229" w:rsidRDefault="00620229" w:rsidP="00B51BDB">
      <w:pPr>
        <w:pStyle w:val="ac"/>
        <w:widowControl/>
        <w:spacing w:before="0" w:beforeAutospacing="0" w:after="0" w:afterAutospacing="0" w:line="560" w:lineRule="exact"/>
        <w:jc w:val="both"/>
        <w:rPr>
          <w:rFonts w:ascii="黑体" w:eastAsia="黑体" w:hAnsi="黑体" w:cs="方正黑体_GBK"/>
          <w:bCs/>
          <w:kern w:val="21"/>
          <w:sz w:val="32"/>
        </w:rPr>
      </w:pPr>
      <w:r w:rsidRPr="00256E72">
        <w:rPr>
          <w:rFonts w:ascii="仿宋" w:eastAsia="仿宋" w:hAnsi="仿宋" w:cs="方正仿宋_GBK" w:hint="eastAsia"/>
          <w:kern w:val="21"/>
          <w:sz w:val="32"/>
        </w:rPr>
        <w:br w:type="page"/>
      </w:r>
      <w:r w:rsidRPr="00620229">
        <w:rPr>
          <w:rFonts w:ascii="黑体" w:eastAsia="黑体" w:hAnsi="黑体" w:cs="方正黑体_GBK" w:hint="eastAsia"/>
          <w:bCs/>
          <w:kern w:val="21"/>
          <w:sz w:val="32"/>
        </w:rPr>
        <w:lastRenderedPageBreak/>
        <w:t>附件2</w:t>
      </w:r>
    </w:p>
    <w:p w:rsidR="00620229" w:rsidRPr="00256E72" w:rsidRDefault="00620229" w:rsidP="00B51BDB">
      <w:pPr>
        <w:pStyle w:val="ac"/>
        <w:spacing w:before="0" w:beforeAutospacing="0" w:after="0" w:afterAutospacing="0" w:line="570" w:lineRule="exact"/>
        <w:jc w:val="both"/>
        <w:rPr>
          <w:rFonts w:ascii="仿宋" w:eastAsia="仿宋" w:hAnsi="仿宋" w:cs="方正小标宋_GBK"/>
          <w:kern w:val="21"/>
          <w:sz w:val="32"/>
        </w:rPr>
      </w:pPr>
    </w:p>
    <w:p w:rsidR="00620229" w:rsidRPr="00620229" w:rsidRDefault="00620229" w:rsidP="00B51BDB">
      <w:pPr>
        <w:pStyle w:val="ac"/>
        <w:spacing w:before="0" w:beforeAutospacing="0" w:after="0" w:afterAutospacing="0" w:line="570" w:lineRule="exact"/>
        <w:jc w:val="center"/>
        <w:rPr>
          <w:rFonts w:ascii="方正小标宋_GBK" w:eastAsia="方正小标宋_GBK" w:hAnsi="仿宋" w:cs="方正小标宋_GBK"/>
          <w:kern w:val="21"/>
          <w:sz w:val="44"/>
          <w:szCs w:val="44"/>
        </w:rPr>
      </w:pPr>
      <w:r w:rsidRPr="00620229">
        <w:rPr>
          <w:rFonts w:ascii="方正小标宋_GBK" w:eastAsia="方正小标宋_GBK" w:hAnsi="仿宋" w:cs="方正小标宋_GBK" w:hint="eastAsia"/>
          <w:kern w:val="21"/>
          <w:sz w:val="44"/>
          <w:szCs w:val="44"/>
        </w:rPr>
        <w:t>全市工程建设领域招标投标典型案例范文</w:t>
      </w:r>
    </w:p>
    <w:p w:rsidR="00620229" w:rsidRPr="00256E72" w:rsidRDefault="00620229" w:rsidP="00B51BDB">
      <w:pPr>
        <w:pStyle w:val="ac"/>
        <w:spacing w:before="0" w:beforeAutospacing="0" w:after="0" w:afterAutospacing="0" w:line="570" w:lineRule="exact"/>
        <w:ind w:firstLineChars="200" w:firstLine="640"/>
        <w:jc w:val="both"/>
        <w:rPr>
          <w:rFonts w:ascii="仿宋" w:eastAsia="仿宋" w:hAnsi="仿宋" w:cs="方正小标宋_GBK"/>
          <w:kern w:val="21"/>
          <w:sz w:val="32"/>
        </w:rPr>
      </w:pPr>
    </w:p>
    <w:p w:rsidR="00620229" w:rsidRPr="00620229" w:rsidRDefault="00620229" w:rsidP="00B51BDB">
      <w:pPr>
        <w:pStyle w:val="ac"/>
        <w:spacing w:before="0" w:beforeAutospacing="0" w:after="0" w:afterAutospacing="0" w:line="570" w:lineRule="exact"/>
        <w:jc w:val="center"/>
        <w:rPr>
          <w:rFonts w:ascii="方正小标宋_GBK" w:eastAsia="方正小标宋_GBK" w:hAnsi="仿宋"/>
          <w:b/>
          <w:bCs/>
          <w:kern w:val="21"/>
          <w:sz w:val="36"/>
        </w:rPr>
      </w:pPr>
      <w:r w:rsidRPr="00620229">
        <w:rPr>
          <w:rFonts w:ascii="方正小标宋_GBK" w:eastAsia="方正小标宋_GBK" w:hAnsi="仿宋" w:cs="方正小标宋_GBK" w:hint="eastAsia"/>
          <w:kern w:val="21"/>
          <w:sz w:val="36"/>
        </w:rPr>
        <w:t>关于招投标过程中发生弄虚作假行为的案例分析</w:t>
      </w:r>
    </w:p>
    <w:p w:rsidR="00620229" w:rsidRPr="00256E72" w:rsidRDefault="00620229" w:rsidP="00B51BDB">
      <w:pPr>
        <w:pStyle w:val="ac"/>
        <w:spacing w:before="0" w:beforeAutospacing="0" w:after="0" w:afterAutospacing="0" w:line="570" w:lineRule="exact"/>
        <w:jc w:val="center"/>
        <w:rPr>
          <w:rFonts w:ascii="仿宋" w:eastAsia="仿宋" w:hAnsi="仿宋" w:cs="方正仿宋_GBK"/>
          <w:kern w:val="21"/>
          <w:sz w:val="32"/>
        </w:rPr>
      </w:pPr>
      <w:r w:rsidRPr="00256E72">
        <w:rPr>
          <w:rFonts w:ascii="仿宋" w:eastAsia="仿宋" w:hAnsi="仿宋" w:cs="方正仿宋_GBK" w:hint="eastAsia"/>
          <w:kern w:val="21"/>
          <w:sz w:val="32"/>
        </w:rPr>
        <w:t>作者：XXX</w:t>
      </w:r>
    </w:p>
    <w:p w:rsidR="00620229" w:rsidRPr="00256E72" w:rsidRDefault="00620229" w:rsidP="00B51BDB">
      <w:pPr>
        <w:pStyle w:val="ac"/>
        <w:spacing w:before="0" w:beforeAutospacing="0" w:after="0" w:afterAutospacing="0" w:line="540" w:lineRule="exact"/>
        <w:ind w:firstLineChars="200" w:firstLine="640"/>
        <w:jc w:val="both"/>
        <w:rPr>
          <w:rFonts w:ascii="仿宋" w:eastAsia="仿宋" w:hAnsi="仿宋" w:cs="方正仿宋_GBK"/>
          <w:kern w:val="21"/>
          <w:sz w:val="32"/>
        </w:rPr>
      </w:pPr>
    </w:p>
    <w:p w:rsidR="00620229" w:rsidRPr="00256E72" w:rsidRDefault="00620229" w:rsidP="00B51BDB">
      <w:pPr>
        <w:pStyle w:val="ac"/>
        <w:spacing w:before="0" w:beforeAutospacing="0" w:after="0" w:afterAutospacing="0" w:line="540" w:lineRule="exact"/>
        <w:jc w:val="both"/>
        <w:rPr>
          <w:rFonts w:ascii="仿宋" w:eastAsia="仿宋" w:hAnsi="仿宋" w:cs="方正黑体_GBK"/>
          <w:b/>
          <w:bCs/>
          <w:kern w:val="21"/>
          <w:sz w:val="32"/>
        </w:rPr>
      </w:pPr>
      <w:r w:rsidRPr="00256E72">
        <w:rPr>
          <w:rFonts w:ascii="仿宋" w:eastAsia="仿宋" w:hAnsi="仿宋" w:cs="方正黑体_GBK" w:hint="eastAsia"/>
          <w:b/>
          <w:bCs/>
          <w:kern w:val="21"/>
          <w:sz w:val="32"/>
        </w:rPr>
        <w:t>案例回顾</w:t>
      </w:r>
    </w:p>
    <w:p w:rsidR="00620229" w:rsidRPr="00256E72" w:rsidRDefault="00620229" w:rsidP="00B51BDB">
      <w:pPr>
        <w:pStyle w:val="ac"/>
        <w:spacing w:before="0" w:beforeAutospacing="0" w:after="0" w:afterAutospacing="0" w:line="54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某超高层商业建筑经过项目审批部门核准，采用公开招标的方式采购工程承包人。由于本项目资金来源为自筹，根据相关规定采用资格预审。招标人对投标企业资质要求为房屋建筑工程施工总承包一级及以上，同时要求企业近三年内承担过22层及以上公共建筑。</w:t>
      </w:r>
    </w:p>
    <w:p w:rsidR="00620229" w:rsidRPr="00256E72" w:rsidRDefault="00620229" w:rsidP="00B51BDB">
      <w:pPr>
        <w:pStyle w:val="ac"/>
        <w:spacing w:before="0" w:beforeAutospacing="0" w:after="0" w:afterAutospacing="0" w:line="540" w:lineRule="exact"/>
        <w:ind w:firstLine="641"/>
        <w:jc w:val="both"/>
        <w:rPr>
          <w:rFonts w:ascii="仿宋" w:eastAsia="仿宋" w:hAnsi="仿宋" w:cs="方正仿宋_GBK"/>
          <w:kern w:val="21"/>
          <w:sz w:val="32"/>
        </w:rPr>
      </w:pPr>
      <w:r w:rsidRPr="00256E72">
        <w:rPr>
          <w:rFonts w:ascii="仿宋" w:eastAsia="仿宋" w:hAnsi="仿宋" w:cs="方正仿宋_GBK" w:hint="eastAsia"/>
          <w:kern w:val="21"/>
          <w:sz w:val="32"/>
        </w:rPr>
        <w:t>资格预审公告结束后，招标人按照《中华人民共和国招标投标法实施条例》第十八条规定组建了资格预审委员会。在资格审查过程中，资格预审委员会发现其中一家单位的资格审查材料有修改层数的痕迹，为确保其材料的真实性，故要求该单位经办人现场进行确认。该单位经办人承诺所提供材料为原始数据，并没有伪造。同时招标代理公司协助资格预审委员会对其进行了网络核实，核查后发现网上数据与该单位所提供的材料不符。该单位经办人了解情况后，再次提出设备层的解释，认为与网络不符的原因就是设备层是否考虑在内的缘故。最终资格预审委员会认为该单位的材料不足以证明满足公告要求，</w:t>
      </w:r>
      <w:r w:rsidRPr="00256E72">
        <w:rPr>
          <w:rFonts w:ascii="仿宋" w:eastAsia="仿宋" w:hAnsi="仿宋" w:cs="方正仿宋_GBK" w:hint="eastAsia"/>
          <w:kern w:val="21"/>
          <w:sz w:val="32"/>
        </w:rPr>
        <w:lastRenderedPageBreak/>
        <w:t>决定为资格审查不合格。</w:t>
      </w:r>
    </w:p>
    <w:p w:rsidR="00620229" w:rsidRPr="00256E72" w:rsidRDefault="00620229" w:rsidP="00B51BDB">
      <w:pPr>
        <w:pStyle w:val="ac"/>
        <w:widowControl/>
        <w:spacing w:before="0" w:beforeAutospacing="0" w:after="0" w:afterAutospacing="0" w:line="540" w:lineRule="exact"/>
        <w:ind w:firstLine="640"/>
        <w:jc w:val="both"/>
        <w:rPr>
          <w:rFonts w:ascii="仿宋" w:eastAsia="仿宋" w:hAnsi="仿宋" w:cs="方正仿宋_GBK"/>
          <w:kern w:val="21"/>
          <w:sz w:val="32"/>
        </w:rPr>
      </w:pPr>
      <w:r w:rsidRPr="00256E72">
        <w:rPr>
          <w:rFonts w:ascii="仿宋" w:eastAsia="仿宋" w:hAnsi="仿宋" w:cs="方正仿宋_GBK" w:hint="eastAsia"/>
          <w:kern w:val="21"/>
          <w:sz w:val="32"/>
        </w:rPr>
        <w:t>资格预审结束后，该单位随后向招标办递交了投诉函，主要内容如下：</w:t>
      </w:r>
    </w:p>
    <w:p w:rsidR="00620229" w:rsidRPr="00256E72" w:rsidRDefault="00620229" w:rsidP="00B51BDB">
      <w:pPr>
        <w:pStyle w:val="ac"/>
        <w:widowControl/>
        <w:spacing w:before="0" w:beforeAutospacing="0" w:after="0" w:afterAutospacing="0" w:line="540" w:lineRule="exact"/>
        <w:ind w:firstLine="640"/>
        <w:jc w:val="both"/>
        <w:rPr>
          <w:rFonts w:ascii="仿宋" w:eastAsia="仿宋" w:hAnsi="仿宋" w:cs="方正仿宋_GBK"/>
          <w:kern w:val="21"/>
          <w:sz w:val="32"/>
        </w:rPr>
      </w:pPr>
      <w:r w:rsidRPr="00256E72">
        <w:rPr>
          <w:rFonts w:ascii="仿宋" w:eastAsia="仿宋" w:hAnsi="仿宋" w:cs="方正仿宋_GBK" w:hint="eastAsia"/>
          <w:kern w:val="21"/>
          <w:sz w:val="32"/>
        </w:rPr>
        <w:t>资格预审委员会单凭网上所查询的数据不足以决定该公司资格不符；</w:t>
      </w:r>
    </w:p>
    <w:p w:rsidR="00620229" w:rsidRPr="00256E72" w:rsidRDefault="00620229" w:rsidP="00B51BDB">
      <w:pPr>
        <w:pStyle w:val="ac"/>
        <w:widowControl/>
        <w:spacing w:before="0" w:beforeAutospacing="0" w:after="0" w:afterAutospacing="0" w:line="540" w:lineRule="exact"/>
        <w:ind w:firstLine="640"/>
        <w:jc w:val="both"/>
        <w:rPr>
          <w:rFonts w:ascii="仿宋" w:eastAsia="仿宋" w:hAnsi="仿宋" w:cs="方正仿宋_GBK"/>
          <w:kern w:val="21"/>
          <w:sz w:val="32"/>
        </w:rPr>
      </w:pPr>
      <w:r w:rsidRPr="00256E72">
        <w:rPr>
          <w:rFonts w:ascii="仿宋" w:eastAsia="仿宋" w:hAnsi="仿宋" w:cs="方正仿宋_GBK" w:hint="eastAsia"/>
          <w:kern w:val="21"/>
          <w:sz w:val="32"/>
        </w:rPr>
        <w:t>设备层高度已超过计入建筑层数的最低高度要求，故应计入建筑层数。</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p>
    <w:p w:rsidR="00620229" w:rsidRPr="00256E72" w:rsidRDefault="00620229" w:rsidP="00B51BDB">
      <w:pPr>
        <w:pStyle w:val="ac"/>
        <w:widowControl/>
        <w:spacing w:before="0" w:beforeAutospacing="0" w:after="0" w:afterAutospacing="0" w:line="540" w:lineRule="exact"/>
        <w:jc w:val="both"/>
        <w:rPr>
          <w:rFonts w:ascii="仿宋" w:eastAsia="仿宋" w:hAnsi="仿宋" w:cs="方正黑体_GBK"/>
          <w:b/>
          <w:bCs/>
          <w:kern w:val="21"/>
          <w:sz w:val="32"/>
        </w:rPr>
      </w:pPr>
      <w:r w:rsidRPr="00256E72">
        <w:rPr>
          <w:rFonts w:ascii="仿宋" w:eastAsia="仿宋" w:hAnsi="仿宋" w:cs="方正黑体_GBK" w:hint="eastAsia"/>
          <w:b/>
          <w:bCs/>
          <w:kern w:val="21"/>
          <w:sz w:val="32"/>
        </w:rPr>
        <w:t>办理结果</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针对以上两点，招标办要求招标代理公司配合资格预审委员会进行核查。招标代理公司就此向招标办提出了处理方案：首先针对业绩的真实性进行核查，主要从</w:t>
      </w:r>
      <w:r w:rsidR="005801F9">
        <w:rPr>
          <w:rFonts w:ascii="仿宋" w:eastAsia="仿宋" w:hAnsi="仿宋" w:cs="方正仿宋_GBK" w:hint="eastAsia"/>
          <w:kern w:val="21"/>
          <w:sz w:val="32"/>
        </w:rPr>
        <w:t>两</w:t>
      </w:r>
      <w:r w:rsidRPr="00256E72">
        <w:rPr>
          <w:rFonts w:ascii="仿宋" w:eastAsia="仿宋" w:hAnsi="仿宋" w:cs="方正仿宋_GBK" w:hint="eastAsia"/>
          <w:kern w:val="21"/>
          <w:sz w:val="32"/>
        </w:rPr>
        <w:t>个方面着手：第一是现场考察，第二是从档案馆或业主那调取原始资料进行核查；如所提供资料真实有效的，则再对设备层是否计入建筑层数进行查实。</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方正黑体_GBK"/>
          <w:b/>
          <w:bCs/>
          <w:kern w:val="21"/>
          <w:sz w:val="32"/>
        </w:rPr>
      </w:pPr>
      <w:r w:rsidRPr="00256E72">
        <w:rPr>
          <w:rFonts w:ascii="仿宋" w:eastAsia="仿宋" w:hAnsi="仿宋" w:cs="方正仿宋_GBK" w:hint="eastAsia"/>
          <w:kern w:val="21"/>
          <w:sz w:val="32"/>
        </w:rPr>
        <w:t>经现场考核及翻阅原始资料后发现，该项目建筑层数为21层，由此可以断定该单位伪造业绩材料，存在弄虚作假的行为。招标办驳回该单位的投诉，维持原资格预审委员会的评审结果。</w:t>
      </w:r>
    </w:p>
    <w:p w:rsidR="00620229" w:rsidRPr="00256E72" w:rsidRDefault="00620229" w:rsidP="00B51BDB">
      <w:pPr>
        <w:pStyle w:val="ac"/>
        <w:widowControl/>
        <w:spacing w:before="0" w:beforeAutospacing="0" w:after="0" w:afterAutospacing="0" w:line="540" w:lineRule="exact"/>
        <w:jc w:val="both"/>
        <w:rPr>
          <w:rFonts w:ascii="仿宋" w:eastAsia="仿宋" w:hAnsi="仿宋" w:cs="方正黑体_GBK"/>
          <w:b/>
          <w:bCs/>
          <w:kern w:val="21"/>
          <w:sz w:val="32"/>
        </w:rPr>
      </w:pPr>
    </w:p>
    <w:p w:rsidR="00620229" w:rsidRPr="00256E72" w:rsidRDefault="00620229" w:rsidP="00B51BDB">
      <w:pPr>
        <w:pStyle w:val="ac"/>
        <w:widowControl/>
        <w:spacing w:before="0" w:beforeAutospacing="0" w:after="0" w:afterAutospacing="0" w:line="540" w:lineRule="exact"/>
        <w:jc w:val="both"/>
        <w:rPr>
          <w:rFonts w:ascii="仿宋" w:eastAsia="仿宋" w:hAnsi="仿宋" w:cs="方正黑体_GBK"/>
          <w:b/>
          <w:bCs/>
          <w:kern w:val="21"/>
          <w:sz w:val="32"/>
        </w:rPr>
      </w:pPr>
      <w:r w:rsidRPr="00256E72">
        <w:rPr>
          <w:rFonts w:ascii="仿宋" w:eastAsia="仿宋" w:hAnsi="仿宋" w:cs="方正黑体_GBK" w:hint="eastAsia"/>
          <w:b/>
          <w:bCs/>
          <w:kern w:val="21"/>
          <w:sz w:val="32"/>
        </w:rPr>
        <w:t>思考与启示</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从本案中可以看到，处理问题的逻辑性要强，一定要把握住事情的源头，就事件的本质进行调查。现在的招投标过程中，</w:t>
      </w:r>
      <w:r w:rsidRPr="00256E72">
        <w:rPr>
          <w:rFonts w:ascii="仿宋" w:eastAsia="仿宋" w:hAnsi="仿宋" w:cs="方正仿宋_GBK" w:hint="eastAsia"/>
          <w:kern w:val="21"/>
          <w:sz w:val="32"/>
        </w:rPr>
        <w:lastRenderedPageBreak/>
        <w:t>弄虚作假的行为是屡见不鲜，手段也是越来越高明，往往都很难发现，即使有嫌疑也很难举证。投标单位伪造资料的胆量也是越来越大，而且在实际事件中往往想通过转移矛盾的方式来掩盖事实的真相。本案中的投标单位就是想通过设备层是否计入建筑层数的问题来转移矛盾，以此掩盖事实真相。</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针对目前投标单位对业绩弄虚作假的状况，提出如下建议：</w:t>
      </w:r>
    </w:p>
    <w:p w:rsidR="00620229" w:rsidRPr="00256E72" w:rsidRDefault="00B51BDB"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r>
        <w:rPr>
          <w:rFonts w:ascii="仿宋" w:eastAsia="仿宋" w:hAnsi="仿宋" w:cs="方正仿宋_GBK" w:hint="eastAsia"/>
          <w:kern w:val="21"/>
          <w:sz w:val="32"/>
        </w:rPr>
        <w:t>1.</w:t>
      </w:r>
      <w:r w:rsidR="00620229" w:rsidRPr="00256E72">
        <w:rPr>
          <w:rFonts w:ascii="仿宋" w:eastAsia="仿宋" w:hAnsi="仿宋" w:cs="方正仿宋_GBK" w:hint="eastAsia"/>
          <w:kern w:val="21"/>
          <w:sz w:val="32"/>
        </w:rPr>
        <w:t>建立业绩数据库，投标单位无论是参加资格预审还是投标，必须提前将所需业绩上传至数据库中。同时将该业绩库对外开放，以便核查和投标人之间相互监督。</w:t>
      </w:r>
    </w:p>
    <w:p w:rsidR="00620229" w:rsidRPr="00256E72" w:rsidRDefault="00B51BDB"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r>
        <w:rPr>
          <w:rFonts w:ascii="仿宋" w:eastAsia="仿宋" w:hAnsi="仿宋" w:cs="方正仿宋_GBK" w:hint="eastAsia"/>
          <w:kern w:val="21"/>
          <w:sz w:val="32"/>
        </w:rPr>
        <w:t>2.</w:t>
      </w:r>
      <w:r w:rsidR="00620229" w:rsidRPr="00256E72">
        <w:rPr>
          <w:rFonts w:ascii="仿宋" w:eastAsia="仿宋" w:hAnsi="仿宋" w:cs="方正仿宋_GBK" w:hint="eastAsia"/>
          <w:kern w:val="21"/>
          <w:sz w:val="32"/>
        </w:rPr>
        <w:t>对于弄虚作假以谋取中标的行为应加大处罚力度，从而使整个招投标市场规范化。</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p>
    <w:p w:rsidR="00620229" w:rsidRPr="00256E72" w:rsidRDefault="00620229" w:rsidP="00B51BDB">
      <w:pPr>
        <w:pStyle w:val="ac"/>
        <w:widowControl/>
        <w:spacing w:before="0" w:beforeAutospacing="0" w:after="0" w:afterAutospacing="0" w:line="540" w:lineRule="exact"/>
        <w:jc w:val="both"/>
        <w:rPr>
          <w:rFonts w:ascii="仿宋" w:eastAsia="仿宋" w:hAnsi="仿宋" w:cs="方正黑体_GBK"/>
          <w:b/>
          <w:bCs/>
          <w:kern w:val="21"/>
          <w:sz w:val="32"/>
        </w:rPr>
      </w:pPr>
      <w:r w:rsidRPr="00256E72">
        <w:rPr>
          <w:rFonts w:ascii="仿宋" w:eastAsia="仿宋" w:hAnsi="仿宋" w:cs="方正黑体_GBK" w:hint="eastAsia"/>
          <w:b/>
          <w:bCs/>
          <w:kern w:val="21"/>
          <w:sz w:val="32"/>
        </w:rPr>
        <w:t>法律依据</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方正仿宋_GBK"/>
          <w:kern w:val="21"/>
          <w:sz w:val="32"/>
        </w:rPr>
      </w:pPr>
      <w:r w:rsidRPr="00256E72">
        <w:rPr>
          <w:rFonts w:ascii="仿宋" w:eastAsia="仿宋" w:hAnsi="仿宋" w:cs="方正仿宋_GBK" w:hint="eastAsia"/>
          <w:kern w:val="21"/>
          <w:sz w:val="32"/>
        </w:rPr>
        <w:t>《中华人民共和国招标投标法实施条例》</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Arial"/>
          <w:kern w:val="21"/>
          <w:sz w:val="32"/>
        </w:rPr>
      </w:pPr>
      <w:r w:rsidRPr="00256E72">
        <w:rPr>
          <w:rFonts w:ascii="仿宋" w:eastAsia="仿宋" w:hAnsi="仿宋" w:cs="方正仿宋_GBK" w:hint="eastAsia"/>
          <w:kern w:val="21"/>
          <w:sz w:val="32"/>
        </w:rPr>
        <w:t>第四十二条规定：“</w:t>
      </w:r>
      <w:r w:rsidRPr="00256E72">
        <w:rPr>
          <w:rFonts w:ascii="仿宋" w:eastAsia="仿宋" w:hAnsi="仿宋" w:cs="Arial" w:hint="eastAsia"/>
          <w:kern w:val="21"/>
          <w:sz w:val="32"/>
        </w:rPr>
        <w:t>……</w:t>
      </w:r>
      <w:r w:rsidRPr="00256E72">
        <w:rPr>
          <w:rFonts w:ascii="仿宋" w:eastAsia="仿宋" w:hAnsi="仿宋" w:cs="方正仿宋_GBK" w:hint="eastAsia"/>
          <w:kern w:val="21"/>
          <w:sz w:val="32"/>
        </w:rPr>
        <w:t>投标人有下列情形之一的，属于招标投标法第三十三条规定的以其他方式弄虚作假的行为：</w:t>
      </w:r>
      <w:r w:rsidRPr="00256E72">
        <w:rPr>
          <w:rFonts w:ascii="仿宋" w:eastAsia="仿宋" w:hAnsi="仿宋" w:cs="Arial" w:hint="eastAsia"/>
          <w:kern w:val="21"/>
          <w:sz w:val="32"/>
        </w:rPr>
        <w:t>……（二）提供虚假的财务状况或者业绩；……”</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Arial"/>
          <w:kern w:val="21"/>
          <w:sz w:val="32"/>
        </w:rPr>
      </w:pPr>
      <w:r w:rsidRPr="00256E72">
        <w:rPr>
          <w:rFonts w:ascii="仿宋" w:eastAsia="仿宋" w:hAnsi="仿宋" w:cs="Arial" w:hint="eastAsia"/>
          <w:kern w:val="21"/>
          <w:sz w:val="32"/>
        </w:rPr>
        <w:t>第五十一条规定：“有下列情形之一的，评标委员会应当否决其投标：……（七）投标人有串通投标、弄虚作假、行贿等违法行为。……”</w:t>
      </w:r>
    </w:p>
    <w:p w:rsidR="00620229" w:rsidRPr="00256E72" w:rsidRDefault="00620229" w:rsidP="00B51BDB">
      <w:pPr>
        <w:pStyle w:val="ac"/>
        <w:widowControl/>
        <w:spacing w:before="0" w:beforeAutospacing="0" w:after="0" w:afterAutospacing="0" w:line="540" w:lineRule="exact"/>
        <w:ind w:firstLineChars="200" w:firstLine="640"/>
        <w:jc w:val="both"/>
        <w:rPr>
          <w:rFonts w:ascii="仿宋" w:eastAsia="仿宋" w:hAnsi="仿宋" w:cs="Arial"/>
          <w:kern w:val="21"/>
          <w:sz w:val="32"/>
        </w:rPr>
      </w:pPr>
    </w:p>
    <w:p w:rsidR="00620229" w:rsidRPr="00256E72" w:rsidRDefault="00620229" w:rsidP="007D5254">
      <w:pPr>
        <w:pStyle w:val="ac"/>
        <w:widowControl/>
        <w:spacing w:before="0" w:beforeAutospacing="0" w:after="0" w:afterAutospacing="0" w:line="540" w:lineRule="exact"/>
        <w:ind w:firstLineChars="200" w:firstLine="640"/>
        <w:jc w:val="right"/>
        <w:rPr>
          <w:rFonts w:ascii="仿宋" w:eastAsia="仿宋" w:hAnsi="仿宋" w:cs="方正仿宋_GBK"/>
          <w:kern w:val="21"/>
          <w:sz w:val="32"/>
        </w:rPr>
      </w:pPr>
      <w:r w:rsidRPr="00256E72">
        <w:rPr>
          <w:rFonts w:ascii="仿宋" w:eastAsia="仿宋" w:hAnsi="仿宋" w:cs="方正仿宋_GBK" w:hint="eastAsia"/>
          <w:kern w:val="21"/>
          <w:sz w:val="32"/>
        </w:rPr>
        <w:t>（作者单位：XXX ）</w:t>
      </w:r>
    </w:p>
    <w:p w:rsidR="00620229" w:rsidRPr="00620229" w:rsidRDefault="00620229" w:rsidP="00B51BDB">
      <w:pPr>
        <w:pStyle w:val="ac"/>
        <w:widowControl/>
        <w:spacing w:before="0" w:beforeAutospacing="0" w:after="0" w:afterAutospacing="0" w:line="560" w:lineRule="exact"/>
        <w:jc w:val="both"/>
        <w:rPr>
          <w:rFonts w:ascii="黑体" w:eastAsia="黑体" w:hAnsi="黑体" w:cs="方正黑体_GBK"/>
          <w:bCs/>
          <w:kern w:val="21"/>
          <w:sz w:val="32"/>
        </w:rPr>
      </w:pPr>
      <w:r w:rsidRPr="00256E72">
        <w:rPr>
          <w:rFonts w:ascii="仿宋" w:eastAsia="仿宋" w:hAnsi="仿宋" w:cs="方正黑体_GBK" w:hint="eastAsia"/>
          <w:b/>
          <w:bCs/>
          <w:kern w:val="21"/>
          <w:lang w:bidi="ar"/>
        </w:rPr>
        <w:br w:type="page"/>
      </w:r>
      <w:r w:rsidRPr="00620229">
        <w:rPr>
          <w:rFonts w:ascii="黑体" w:eastAsia="黑体" w:hAnsi="黑体" w:cs="方正黑体_GBK" w:hint="eastAsia"/>
          <w:bCs/>
          <w:kern w:val="21"/>
          <w:sz w:val="32"/>
        </w:rPr>
        <w:lastRenderedPageBreak/>
        <w:t>附件3</w:t>
      </w:r>
    </w:p>
    <w:p w:rsidR="00620229" w:rsidRPr="00256E72" w:rsidRDefault="00620229" w:rsidP="00B51BDB">
      <w:pPr>
        <w:spacing w:line="570" w:lineRule="exact"/>
        <w:rPr>
          <w:rFonts w:ascii="仿宋" w:eastAsia="仿宋" w:hAnsi="仿宋" w:cs="方正仿宋_GBK"/>
          <w:spacing w:val="20"/>
          <w:kern w:val="21"/>
        </w:rPr>
      </w:pPr>
    </w:p>
    <w:p w:rsidR="00620229" w:rsidRPr="00620229" w:rsidRDefault="00620229" w:rsidP="00B51BDB">
      <w:pPr>
        <w:spacing w:line="570" w:lineRule="exact"/>
        <w:jc w:val="center"/>
        <w:rPr>
          <w:rFonts w:ascii="方正小标宋_GBK" w:eastAsia="方正小标宋_GBK" w:hAnsi="仿宋" w:cs="方正小标宋_GBK"/>
          <w:kern w:val="21"/>
          <w:sz w:val="44"/>
          <w:szCs w:val="44"/>
          <w:lang w:bidi="ar"/>
        </w:rPr>
      </w:pPr>
      <w:r w:rsidRPr="00620229">
        <w:rPr>
          <w:rFonts w:ascii="方正小标宋_GBK" w:eastAsia="方正小标宋_GBK" w:hAnsi="仿宋" w:cs="方正小标宋_GBK" w:hint="eastAsia"/>
          <w:kern w:val="21"/>
          <w:sz w:val="44"/>
          <w:szCs w:val="44"/>
          <w:lang w:bidi="ar"/>
        </w:rPr>
        <w:t>全市工程建设领域招标投标典型案例征集</w:t>
      </w:r>
      <w:r>
        <w:rPr>
          <w:rFonts w:ascii="方正小标宋_GBK" w:eastAsia="方正小标宋_GBK" w:hAnsi="仿宋" w:cs="方正小标宋_GBK" w:hint="eastAsia"/>
          <w:kern w:val="21"/>
          <w:sz w:val="44"/>
          <w:szCs w:val="44"/>
          <w:lang w:bidi="ar"/>
        </w:rPr>
        <w:t>表</w:t>
      </w:r>
    </w:p>
    <w:p w:rsidR="00620229" w:rsidRPr="00256E72" w:rsidRDefault="00620229" w:rsidP="00B51BDB">
      <w:pPr>
        <w:spacing w:line="570" w:lineRule="exact"/>
        <w:rPr>
          <w:rFonts w:ascii="仿宋" w:eastAsia="仿宋" w:hAnsi="仿宋" w:cs="方正黑体_GBK"/>
          <w:b/>
          <w:bCs/>
          <w:kern w:val="21"/>
          <w:lang w:bidi="ar"/>
        </w:rPr>
      </w:pPr>
    </w:p>
    <w:p w:rsidR="00620229" w:rsidRPr="00B51BDB" w:rsidRDefault="00620229" w:rsidP="00B51BDB">
      <w:pPr>
        <w:spacing w:line="570" w:lineRule="exact"/>
        <w:rPr>
          <w:rFonts w:ascii="仿宋" w:eastAsia="仿宋" w:hAnsi="仿宋" w:cs="方正小标宋_GBK"/>
          <w:kern w:val="21"/>
          <w:sz w:val="32"/>
          <w:szCs w:val="32"/>
          <w:lang w:bidi="ar"/>
        </w:rPr>
      </w:pPr>
      <w:r w:rsidRPr="00B51BDB">
        <w:rPr>
          <w:rFonts w:ascii="仿宋" w:eastAsia="仿宋" w:hAnsi="仿宋" w:cs="方正黑体_GBK" w:hint="eastAsia"/>
          <w:bCs/>
          <w:kern w:val="21"/>
          <w:sz w:val="32"/>
          <w:szCs w:val="32"/>
          <w:lang w:bidi="ar"/>
        </w:rPr>
        <w:t>填报地区：</w:t>
      </w:r>
      <w:r w:rsidRPr="00B51BDB">
        <w:rPr>
          <w:rFonts w:ascii="仿宋" w:eastAsia="仿宋" w:hAnsi="仿宋" w:cs="方正黑体_GBK" w:hint="eastAsia"/>
          <w:bCs/>
          <w:kern w:val="21"/>
          <w:sz w:val="32"/>
          <w:szCs w:val="32"/>
          <w:u w:val="single"/>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2501"/>
        <w:gridCol w:w="1390"/>
        <w:gridCol w:w="2028"/>
        <w:gridCol w:w="1898"/>
      </w:tblGrid>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方正黑体_GBK"/>
                <w:bCs/>
                <w:kern w:val="21"/>
                <w:sz w:val="32"/>
                <w:szCs w:val="32"/>
                <w:lang w:bidi="ar"/>
              </w:rPr>
            </w:pPr>
            <w:r w:rsidRPr="00B51BDB">
              <w:rPr>
                <w:rFonts w:ascii="方正仿宋_GBK" w:eastAsia="方正仿宋_GBK" w:hAnsi="仿宋" w:cs="方正黑体_GBK" w:hint="eastAsia"/>
                <w:bCs/>
                <w:kern w:val="21"/>
                <w:sz w:val="32"/>
                <w:szCs w:val="32"/>
                <w:lang w:bidi="ar"/>
              </w:rPr>
              <w:t>序号</w:t>
            </w:r>
          </w:p>
        </w:tc>
        <w:tc>
          <w:tcPr>
            <w:tcW w:w="2612" w:type="dxa"/>
            <w:vAlign w:val="center"/>
          </w:tcPr>
          <w:p w:rsidR="00620229" w:rsidRPr="00B51BDB" w:rsidRDefault="00620229" w:rsidP="00B51BDB">
            <w:pPr>
              <w:spacing w:line="570" w:lineRule="exact"/>
              <w:jc w:val="center"/>
              <w:rPr>
                <w:rFonts w:ascii="方正仿宋_GBK" w:eastAsia="方正仿宋_GBK" w:hAnsi="仿宋" w:cs="方正黑体_GBK"/>
                <w:bCs/>
                <w:kern w:val="21"/>
                <w:sz w:val="32"/>
                <w:szCs w:val="32"/>
                <w:lang w:bidi="ar"/>
              </w:rPr>
            </w:pPr>
            <w:r w:rsidRPr="00B51BDB">
              <w:rPr>
                <w:rFonts w:ascii="方正仿宋_GBK" w:eastAsia="方正仿宋_GBK" w:hAnsi="仿宋" w:cs="方正黑体_GBK" w:hint="eastAsia"/>
                <w:bCs/>
                <w:kern w:val="21"/>
                <w:sz w:val="32"/>
                <w:szCs w:val="32"/>
                <w:lang w:bidi="ar"/>
              </w:rPr>
              <w:t>案例标题</w:t>
            </w:r>
          </w:p>
        </w:tc>
        <w:tc>
          <w:tcPr>
            <w:tcW w:w="1438" w:type="dxa"/>
            <w:vAlign w:val="center"/>
          </w:tcPr>
          <w:p w:rsidR="00620229" w:rsidRPr="00B51BDB" w:rsidRDefault="00620229" w:rsidP="00B51BDB">
            <w:pPr>
              <w:spacing w:line="570" w:lineRule="exact"/>
              <w:jc w:val="center"/>
              <w:rPr>
                <w:rFonts w:ascii="方正仿宋_GBK" w:eastAsia="方正仿宋_GBK" w:hAnsi="仿宋" w:cs="方正黑体_GBK"/>
                <w:bCs/>
                <w:kern w:val="21"/>
                <w:sz w:val="32"/>
                <w:szCs w:val="32"/>
                <w:lang w:bidi="ar"/>
              </w:rPr>
            </w:pPr>
            <w:r w:rsidRPr="00B51BDB">
              <w:rPr>
                <w:rFonts w:ascii="方正仿宋_GBK" w:eastAsia="方正仿宋_GBK" w:hAnsi="仿宋" w:cs="方正黑体_GBK" w:hint="eastAsia"/>
                <w:bCs/>
                <w:kern w:val="21"/>
                <w:sz w:val="32"/>
                <w:szCs w:val="32"/>
                <w:lang w:bidi="ar"/>
              </w:rPr>
              <w:t>作 者</w:t>
            </w:r>
          </w:p>
        </w:tc>
        <w:tc>
          <w:tcPr>
            <w:tcW w:w="2112" w:type="dxa"/>
            <w:vAlign w:val="center"/>
          </w:tcPr>
          <w:p w:rsidR="00620229" w:rsidRPr="00B51BDB" w:rsidRDefault="00620229" w:rsidP="00B51BDB">
            <w:pPr>
              <w:spacing w:line="570" w:lineRule="exact"/>
              <w:jc w:val="center"/>
              <w:rPr>
                <w:rFonts w:ascii="方正仿宋_GBK" w:eastAsia="方正仿宋_GBK" w:hAnsi="仿宋" w:cs="方正黑体_GBK"/>
                <w:bCs/>
                <w:kern w:val="21"/>
                <w:sz w:val="32"/>
                <w:szCs w:val="32"/>
                <w:lang w:bidi="ar"/>
              </w:rPr>
            </w:pPr>
            <w:r w:rsidRPr="00B51BDB">
              <w:rPr>
                <w:rFonts w:ascii="方正仿宋_GBK" w:eastAsia="方正仿宋_GBK" w:hAnsi="仿宋" w:cs="方正黑体_GBK" w:hint="eastAsia"/>
                <w:bCs/>
                <w:kern w:val="21"/>
                <w:sz w:val="32"/>
                <w:szCs w:val="32"/>
                <w:lang w:bidi="ar"/>
              </w:rPr>
              <w:t>工作单位</w:t>
            </w:r>
          </w:p>
        </w:tc>
        <w:tc>
          <w:tcPr>
            <w:tcW w:w="1975" w:type="dxa"/>
            <w:vAlign w:val="center"/>
          </w:tcPr>
          <w:p w:rsidR="00620229" w:rsidRPr="00B51BDB" w:rsidRDefault="00620229" w:rsidP="00B51BDB">
            <w:pPr>
              <w:spacing w:line="570" w:lineRule="exact"/>
              <w:jc w:val="center"/>
              <w:rPr>
                <w:rFonts w:ascii="方正仿宋_GBK" w:eastAsia="方正仿宋_GBK" w:hAnsi="仿宋" w:cs="方正黑体_GBK"/>
                <w:bCs/>
                <w:kern w:val="21"/>
                <w:sz w:val="32"/>
                <w:szCs w:val="32"/>
                <w:lang w:bidi="ar"/>
              </w:rPr>
            </w:pPr>
            <w:r w:rsidRPr="00B51BDB">
              <w:rPr>
                <w:rFonts w:ascii="方正仿宋_GBK" w:eastAsia="方正仿宋_GBK" w:hAnsi="仿宋" w:cs="方正黑体_GBK" w:hint="eastAsia"/>
                <w:bCs/>
                <w:kern w:val="21"/>
                <w:sz w:val="32"/>
                <w:szCs w:val="32"/>
                <w:lang w:bidi="ar"/>
              </w:rPr>
              <w:t>联系电话</w:t>
            </w: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r w:rsidR="00620229" w:rsidRPr="00256E72" w:rsidTr="00B51BDB">
        <w:trPr>
          <w:trHeight w:val="645"/>
        </w:trPr>
        <w:tc>
          <w:tcPr>
            <w:tcW w:w="924"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6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438"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2112"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c>
          <w:tcPr>
            <w:tcW w:w="1975" w:type="dxa"/>
            <w:vAlign w:val="center"/>
          </w:tcPr>
          <w:p w:rsidR="00620229" w:rsidRPr="00B51BDB" w:rsidRDefault="00620229" w:rsidP="00B51BDB">
            <w:pPr>
              <w:spacing w:line="570" w:lineRule="exact"/>
              <w:jc w:val="center"/>
              <w:rPr>
                <w:rFonts w:ascii="方正仿宋_GBK" w:eastAsia="方正仿宋_GBK" w:hAnsi="仿宋" w:cs="宋体"/>
                <w:kern w:val="21"/>
                <w:sz w:val="32"/>
                <w:szCs w:val="32"/>
              </w:rPr>
            </w:pPr>
          </w:p>
        </w:tc>
      </w:tr>
    </w:tbl>
    <w:p w:rsidR="002E64B8" w:rsidRDefault="00620229" w:rsidP="00B51BDB">
      <w:pPr>
        <w:rPr>
          <w:rFonts w:ascii="仿宋_GB2312" w:eastAsia="仿宋_GB2312"/>
          <w:sz w:val="32"/>
          <w:szCs w:val="32"/>
        </w:rPr>
      </w:pPr>
      <w:r w:rsidRPr="00256E72">
        <w:rPr>
          <w:rFonts w:ascii="仿宋" w:eastAsia="仿宋" w:hAnsi="仿宋" w:cs="方正仿宋_GBK" w:hint="eastAsia"/>
          <w:kern w:val="21"/>
          <w:sz w:val="32"/>
        </w:rPr>
        <w:t>注：按本辖区评比排名排序。</w:t>
      </w:r>
    </w:p>
    <w:sectPr w:rsidR="002E64B8" w:rsidSect="00AC7F28">
      <w:footerReference w:type="even" r:id="rId8"/>
      <w:footerReference w:type="default" r:id="rId9"/>
      <w:pgSz w:w="11906" w:h="16838" w:code="9"/>
      <w:pgMar w:top="2007" w:right="1701" w:bottom="2007" w:left="1701" w:header="851" w:footer="1559"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81" w:rsidRDefault="00756881" w:rsidP="00614A2E">
      <w:r>
        <w:separator/>
      </w:r>
    </w:p>
  </w:endnote>
  <w:endnote w:type="continuationSeparator" w:id="0">
    <w:p w:rsidR="00756881" w:rsidRDefault="00756881" w:rsidP="006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383780259"/>
      <w:docPartObj>
        <w:docPartGallery w:val="Page Numbers (Bottom of Page)"/>
        <w:docPartUnique/>
      </w:docPartObj>
    </w:sdtPr>
    <w:sdtEndPr/>
    <w:sdtContent>
      <w:p w:rsidR="00AC7F28" w:rsidRPr="00AC7F28" w:rsidRDefault="00AC7F28">
        <w:pPr>
          <w:pStyle w:val="a6"/>
          <w:rPr>
            <w:rFonts w:asciiTheme="minorEastAsia" w:hAnsiTheme="minorEastAsia"/>
            <w:sz w:val="28"/>
            <w:szCs w:val="28"/>
          </w:rPr>
        </w:pPr>
        <w:r w:rsidRPr="00AC7F28">
          <w:rPr>
            <w:rFonts w:asciiTheme="minorEastAsia" w:hAnsiTheme="minorEastAsia"/>
            <w:sz w:val="28"/>
            <w:szCs w:val="28"/>
          </w:rPr>
          <w:fldChar w:fldCharType="begin"/>
        </w:r>
        <w:r w:rsidRPr="00AC7F28">
          <w:rPr>
            <w:rFonts w:asciiTheme="minorEastAsia" w:hAnsiTheme="minorEastAsia"/>
            <w:sz w:val="28"/>
            <w:szCs w:val="28"/>
          </w:rPr>
          <w:instrText>PAGE   \* MERGEFORMAT</w:instrText>
        </w:r>
        <w:r w:rsidRPr="00AC7F28">
          <w:rPr>
            <w:rFonts w:asciiTheme="minorEastAsia" w:hAnsiTheme="minorEastAsia"/>
            <w:sz w:val="28"/>
            <w:szCs w:val="28"/>
          </w:rPr>
          <w:fldChar w:fldCharType="separate"/>
        </w:r>
        <w:r w:rsidR="00894CE6" w:rsidRPr="00894CE6">
          <w:rPr>
            <w:rFonts w:asciiTheme="minorEastAsia" w:hAnsiTheme="minorEastAsia"/>
            <w:noProof/>
            <w:sz w:val="28"/>
            <w:szCs w:val="28"/>
            <w:lang w:val="zh-CN"/>
          </w:rPr>
          <w:t>-</w:t>
        </w:r>
        <w:r w:rsidR="00894CE6">
          <w:rPr>
            <w:rFonts w:asciiTheme="minorEastAsia" w:hAnsiTheme="minorEastAsia"/>
            <w:noProof/>
            <w:sz w:val="28"/>
            <w:szCs w:val="28"/>
          </w:rPr>
          <w:t xml:space="preserve"> 4 -</w:t>
        </w:r>
        <w:r w:rsidRPr="00AC7F28">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510289035"/>
      <w:docPartObj>
        <w:docPartGallery w:val="Page Numbers (Bottom of Page)"/>
        <w:docPartUnique/>
      </w:docPartObj>
    </w:sdtPr>
    <w:sdtEndPr/>
    <w:sdtContent>
      <w:p w:rsidR="00620229" w:rsidRPr="00620229" w:rsidRDefault="00620229">
        <w:pPr>
          <w:pStyle w:val="a6"/>
          <w:jc w:val="right"/>
          <w:rPr>
            <w:rFonts w:asciiTheme="minorEastAsia" w:hAnsiTheme="minorEastAsia"/>
            <w:sz w:val="28"/>
            <w:szCs w:val="28"/>
          </w:rPr>
        </w:pPr>
        <w:r w:rsidRPr="00620229">
          <w:rPr>
            <w:rFonts w:asciiTheme="minorEastAsia" w:hAnsiTheme="minorEastAsia"/>
            <w:sz w:val="28"/>
            <w:szCs w:val="28"/>
          </w:rPr>
          <w:fldChar w:fldCharType="begin"/>
        </w:r>
        <w:r w:rsidRPr="00620229">
          <w:rPr>
            <w:rFonts w:asciiTheme="minorEastAsia" w:hAnsiTheme="minorEastAsia"/>
            <w:sz w:val="28"/>
            <w:szCs w:val="28"/>
          </w:rPr>
          <w:instrText>PAGE   \* MERGEFORMAT</w:instrText>
        </w:r>
        <w:r w:rsidRPr="00620229">
          <w:rPr>
            <w:rFonts w:asciiTheme="minorEastAsia" w:hAnsiTheme="minorEastAsia"/>
            <w:sz w:val="28"/>
            <w:szCs w:val="28"/>
          </w:rPr>
          <w:fldChar w:fldCharType="separate"/>
        </w:r>
        <w:r w:rsidR="00894CE6" w:rsidRPr="00894CE6">
          <w:rPr>
            <w:rFonts w:asciiTheme="minorEastAsia" w:hAnsiTheme="minorEastAsia"/>
            <w:noProof/>
            <w:sz w:val="28"/>
            <w:szCs w:val="28"/>
            <w:lang w:val="zh-CN"/>
          </w:rPr>
          <w:t>-</w:t>
        </w:r>
        <w:r w:rsidR="00894CE6">
          <w:rPr>
            <w:rFonts w:asciiTheme="minorEastAsia" w:hAnsiTheme="minorEastAsia"/>
            <w:noProof/>
            <w:sz w:val="28"/>
            <w:szCs w:val="28"/>
          </w:rPr>
          <w:t xml:space="preserve"> 3 -</w:t>
        </w:r>
        <w:r w:rsidRPr="00620229">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81" w:rsidRDefault="00756881" w:rsidP="00614A2E">
      <w:r>
        <w:separator/>
      </w:r>
    </w:p>
  </w:footnote>
  <w:footnote w:type="continuationSeparator" w:id="0">
    <w:p w:rsidR="00756881" w:rsidRDefault="00756881" w:rsidP="00614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C2F713"/>
    <w:multiLevelType w:val="singleLevel"/>
    <w:tmpl w:val="80C2F713"/>
    <w:lvl w:ilvl="0">
      <w:start w:val="2"/>
      <w:numFmt w:val="chineseCounting"/>
      <w:suff w:val="nothing"/>
      <w:lvlText w:val="%1、"/>
      <w:lvlJc w:val="left"/>
      <w:rPr>
        <w:rFonts w:hint="eastAsia"/>
      </w:rPr>
    </w:lvl>
  </w:abstractNum>
  <w:abstractNum w:abstractNumId="1">
    <w:nsid w:val="832043C9"/>
    <w:multiLevelType w:val="singleLevel"/>
    <w:tmpl w:val="832043C9"/>
    <w:lvl w:ilvl="0">
      <w:start w:val="1"/>
      <w:numFmt w:val="decimal"/>
      <w:suff w:val="nothing"/>
      <w:lvlText w:val="%1、"/>
      <w:lvlJc w:val="left"/>
    </w:lvl>
  </w:abstractNum>
  <w:abstractNum w:abstractNumId="2">
    <w:nsid w:val="9EDE17AD"/>
    <w:multiLevelType w:val="singleLevel"/>
    <w:tmpl w:val="9EDE17AD"/>
    <w:lvl w:ilvl="0">
      <w:start w:val="5"/>
      <w:numFmt w:val="decimal"/>
      <w:suff w:val="nothing"/>
      <w:lvlText w:val="%1、"/>
      <w:lvlJc w:val="left"/>
    </w:lvl>
  </w:abstractNum>
  <w:abstractNum w:abstractNumId="3">
    <w:nsid w:val="04B5366C"/>
    <w:multiLevelType w:val="singleLevel"/>
    <w:tmpl w:val="04B5366C"/>
    <w:lvl w:ilvl="0">
      <w:start w:val="1"/>
      <w:numFmt w:val="decimal"/>
      <w:suff w:val="nothing"/>
      <w:lvlText w:val="%1、"/>
      <w:lvlJc w:val="left"/>
    </w:lvl>
  </w:abstractNum>
  <w:abstractNum w:abstractNumId="4">
    <w:nsid w:val="0F547E37"/>
    <w:multiLevelType w:val="singleLevel"/>
    <w:tmpl w:val="0F547E37"/>
    <w:lvl w:ilvl="0">
      <w:start w:val="2"/>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FC"/>
    <w:rsid w:val="00025555"/>
    <w:rsid w:val="0002751E"/>
    <w:rsid w:val="000453C9"/>
    <w:rsid w:val="00061B8F"/>
    <w:rsid w:val="00061DED"/>
    <w:rsid w:val="000847F8"/>
    <w:rsid w:val="00095A3F"/>
    <w:rsid w:val="000A3C2A"/>
    <w:rsid w:val="000B3D32"/>
    <w:rsid w:val="000B5D43"/>
    <w:rsid w:val="000C55CA"/>
    <w:rsid w:val="000C5C9D"/>
    <w:rsid w:val="000C6EDA"/>
    <w:rsid w:val="000D0EFD"/>
    <w:rsid w:val="000D565E"/>
    <w:rsid w:val="000E4ED9"/>
    <w:rsid w:val="00144CDD"/>
    <w:rsid w:val="00191664"/>
    <w:rsid w:val="00193953"/>
    <w:rsid w:val="001E188D"/>
    <w:rsid w:val="001E6740"/>
    <w:rsid w:val="00210A8C"/>
    <w:rsid w:val="00212392"/>
    <w:rsid w:val="00216B33"/>
    <w:rsid w:val="00245CAF"/>
    <w:rsid w:val="00247BB2"/>
    <w:rsid w:val="002618D5"/>
    <w:rsid w:val="00265427"/>
    <w:rsid w:val="00277273"/>
    <w:rsid w:val="002A276C"/>
    <w:rsid w:val="002A7478"/>
    <w:rsid w:val="002A7E2E"/>
    <w:rsid w:val="002E2639"/>
    <w:rsid w:val="002E64B8"/>
    <w:rsid w:val="002E6842"/>
    <w:rsid w:val="002E6D2D"/>
    <w:rsid w:val="00312033"/>
    <w:rsid w:val="00334831"/>
    <w:rsid w:val="00337EFC"/>
    <w:rsid w:val="00341F4B"/>
    <w:rsid w:val="00342841"/>
    <w:rsid w:val="00350B2A"/>
    <w:rsid w:val="00367BE8"/>
    <w:rsid w:val="00384C61"/>
    <w:rsid w:val="003D740B"/>
    <w:rsid w:val="0040717D"/>
    <w:rsid w:val="00437DD8"/>
    <w:rsid w:val="00446588"/>
    <w:rsid w:val="00467890"/>
    <w:rsid w:val="00484486"/>
    <w:rsid w:val="00490E64"/>
    <w:rsid w:val="00495275"/>
    <w:rsid w:val="004E0873"/>
    <w:rsid w:val="004E1BAD"/>
    <w:rsid w:val="00527DC9"/>
    <w:rsid w:val="00534610"/>
    <w:rsid w:val="005635F8"/>
    <w:rsid w:val="00567EF1"/>
    <w:rsid w:val="005801F9"/>
    <w:rsid w:val="0059667A"/>
    <w:rsid w:val="005A2837"/>
    <w:rsid w:val="005A7890"/>
    <w:rsid w:val="005C4589"/>
    <w:rsid w:val="005E4F94"/>
    <w:rsid w:val="005E51D6"/>
    <w:rsid w:val="005F395A"/>
    <w:rsid w:val="005F6C8B"/>
    <w:rsid w:val="00613B54"/>
    <w:rsid w:val="00614A2E"/>
    <w:rsid w:val="00614AE9"/>
    <w:rsid w:val="00620229"/>
    <w:rsid w:val="00622088"/>
    <w:rsid w:val="00671397"/>
    <w:rsid w:val="006730ED"/>
    <w:rsid w:val="00686F31"/>
    <w:rsid w:val="00691A6A"/>
    <w:rsid w:val="00696E34"/>
    <w:rsid w:val="006973DB"/>
    <w:rsid w:val="006A03BD"/>
    <w:rsid w:val="006A3007"/>
    <w:rsid w:val="006A5E36"/>
    <w:rsid w:val="006C3C6F"/>
    <w:rsid w:val="006C5FA9"/>
    <w:rsid w:val="006D096C"/>
    <w:rsid w:val="006D2123"/>
    <w:rsid w:val="006E1270"/>
    <w:rsid w:val="006E5983"/>
    <w:rsid w:val="006F32B0"/>
    <w:rsid w:val="00702912"/>
    <w:rsid w:val="00703635"/>
    <w:rsid w:val="0071515F"/>
    <w:rsid w:val="00742FE7"/>
    <w:rsid w:val="00743B87"/>
    <w:rsid w:val="007477DC"/>
    <w:rsid w:val="00756881"/>
    <w:rsid w:val="00787D99"/>
    <w:rsid w:val="00792B6C"/>
    <w:rsid w:val="007A162C"/>
    <w:rsid w:val="007B6818"/>
    <w:rsid w:val="007C2862"/>
    <w:rsid w:val="007C60B7"/>
    <w:rsid w:val="007D4BCF"/>
    <w:rsid w:val="007D5254"/>
    <w:rsid w:val="007F1BDE"/>
    <w:rsid w:val="007F2E23"/>
    <w:rsid w:val="00820FEC"/>
    <w:rsid w:val="00853B44"/>
    <w:rsid w:val="008572C2"/>
    <w:rsid w:val="00862D99"/>
    <w:rsid w:val="008708AF"/>
    <w:rsid w:val="00880323"/>
    <w:rsid w:val="00886EFF"/>
    <w:rsid w:val="00894CE6"/>
    <w:rsid w:val="00896F0C"/>
    <w:rsid w:val="008C4E89"/>
    <w:rsid w:val="008C50BC"/>
    <w:rsid w:val="008D70E9"/>
    <w:rsid w:val="008E0FD1"/>
    <w:rsid w:val="008F0F8C"/>
    <w:rsid w:val="00903742"/>
    <w:rsid w:val="009156CD"/>
    <w:rsid w:val="00930B1F"/>
    <w:rsid w:val="00972ABD"/>
    <w:rsid w:val="0097358C"/>
    <w:rsid w:val="0098450D"/>
    <w:rsid w:val="00997308"/>
    <w:rsid w:val="009B3E03"/>
    <w:rsid w:val="009C15C8"/>
    <w:rsid w:val="009E3486"/>
    <w:rsid w:val="009E7934"/>
    <w:rsid w:val="009F133F"/>
    <w:rsid w:val="00A002CD"/>
    <w:rsid w:val="00A14352"/>
    <w:rsid w:val="00A3768C"/>
    <w:rsid w:val="00A578FE"/>
    <w:rsid w:val="00A64D14"/>
    <w:rsid w:val="00A6529B"/>
    <w:rsid w:val="00A92B6C"/>
    <w:rsid w:val="00A966FB"/>
    <w:rsid w:val="00AA1C4E"/>
    <w:rsid w:val="00AA4941"/>
    <w:rsid w:val="00AA6697"/>
    <w:rsid w:val="00AB26FD"/>
    <w:rsid w:val="00AC7F28"/>
    <w:rsid w:val="00AD0732"/>
    <w:rsid w:val="00AD1323"/>
    <w:rsid w:val="00AD1514"/>
    <w:rsid w:val="00AF130D"/>
    <w:rsid w:val="00B05C2B"/>
    <w:rsid w:val="00B15E24"/>
    <w:rsid w:val="00B3056A"/>
    <w:rsid w:val="00B35679"/>
    <w:rsid w:val="00B45598"/>
    <w:rsid w:val="00B51BDB"/>
    <w:rsid w:val="00B56958"/>
    <w:rsid w:val="00B63248"/>
    <w:rsid w:val="00B70FF5"/>
    <w:rsid w:val="00B74920"/>
    <w:rsid w:val="00B873ED"/>
    <w:rsid w:val="00BD7014"/>
    <w:rsid w:val="00BD7E4B"/>
    <w:rsid w:val="00BF62A7"/>
    <w:rsid w:val="00C11156"/>
    <w:rsid w:val="00C11D5F"/>
    <w:rsid w:val="00C1216B"/>
    <w:rsid w:val="00C123FE"/>
    <w:rsid w:val="00C2415D"/>
    <w:rsid w:val="00C26B1A"/>
    <w:rsid w:val="00C51785"/>
    <w:rsid w:val="00C66001"/>
    <w:rsid w:val="00C67D52"/>
    <w:rsid w:val="00C70C86"/>
    <w:rsid w:val="00C71AE7"/>
    <w:rsid w:val="00C72F7C"/>
    <w:rsid w:val="00C74315"/>
    <w:rsid w:val="00C80A90"/>
    <w:rsid w:val="00C82E55"/>
    <w:rsid w:val="00C836D7"/>
    <w:rsid w:val="00C84A3C"/>
    <w:rsid w:val="00CA037F"/>
    <w:rsid w:val="00CA51AB"/>
    <w:rsid w:val="00CA652E"/>
    <w:rsid w:val="00CB6407"/>
    <w:rsid w:val="00CC7DE8"/>
    <w:rsid w:val="00CD70A7"/>
    <w:rsid w:val="00CE3A60"/>
    <w:rsid w:val="00CE3F5E"/>
    <w:rsid w:val="00CF063A"/>
    <w:rsid w:val="00D148AF"/>
    <w:rsid w:val="00D56B1C"/>
    <w:rsid w:val="00D70BEE"/>
    <w:rsid w:val="00D8573E"/>
    <w:rsid w:val="00D903FC"/>
    <w:rsid w:val="00DA4FA4"/>
    <w:rsid w:val="00DC0F04"/>
    <w:rsid w:val="00DD49C5"/>
    <w:rsid w:val="00DE2D57"/>
    <w:rsid w:val="00DF3863"/>
    <w:rsid w:val="00DF3ADE"/>
    <w:rsid w:val="00E02EE2"/>
    <w:rsid w:val="00E16885"/>
    <w:rsid w:val="00E1794C"/>
    <w:rsid w:val="00E3000B"/>
    <w:rsid w:val="00E77EAB"/>
    <w:rsid w:val="00E84DB2"/>
    <w:rsid w:val="00E8757F"/>
    <w:rsid w:val="00E90855"/>
    <w:rsid w:val="00EB7117"/>
    <w:rsid w:val="00ED581B"/>
    <w:rsid w:val="00ED6208"/>
    <w:rsid w:val="00EE1A68"/>
    <w:rsid w:val="00EE4084"/>
    <w:rsid w:val="00EF3906"/>
    <w:rsid w:val="00F0700B"/>
    <w:rsid w:val="00F12EC2"/>
    <w:rsid w:val="00F15F73"/>
    <w:rsid w:val="00F3453C"/>
    <w:rsid w:val="00F5399A"/>
    <w:rsid w:val="00F6386F"/>
    <w:rsid w:val="00F928B9"/>
    <w:rsid w:val="00FA712E"/>
    <w:rsid w:val="00FB39E9"/>
    <w:rsid w:val="00FB4D63"/>
    <w:rsid w:val="00FC51D4"/>
    <w:rsid w:val="00FE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66403-5483-43C3-AD06-516AF426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247BB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semiHidden/>
    <w:unhideWhenUsed/>
    <w:rsid w:val="002E6D2D"/>
  </w:style>
  <w:style w:type="character" w:customStyle="1" w:styleId="Char">
    <w:name w:val="称呼 Char"/>
    <w:basedOn w:val="a0"/>
    <w:link w:val="a3"/>
    <w:uiPriority w:val="99"/>
    <w:semiHidden/>
    <w:rsid w:val="002E6D2D"/>
  </w:style>
  <w:style w:type="paragraph" w:styleId="a4">
    <w:name w:val="Closing"/>
    <w:basedOn w:val="a"/>
    <w:link w:val="Char0"/>
    <w:uiPriority w:val="99"/>
    <w:semiHidden/>
    <w:unhideWhenUsed/>
    <w:rsid w:val="002E6D2D"/>
    <w:pPr>
      <w:ind w:leftChars="2100" w:left="100"/>
    </w:pPr>
  </w:style>
  <w:style w:type="character" w:customStyle="1" w:styleId="Char0">
    <w:name w:val="结束语 Char"/>
    <w:basedOn w:val="a0"/>
    <w:link w:val="a4"/>
    <w:uiPriority w:val="99"/>
    <w:semiHidden/>
    <w:rsid w:val="002E6D2D"/>
  </w:style>
  <w:style w:type="paragraph" w:styleId="a5">
    <w:name w:val="header"/>
    <w:basedOn w:val="a"/>
    <w:link w:val="Char1"/>
    <w:uiPriority w:val="99"/>
    <w:unhideWhenUsed/>
    <w:rsid w:val="00614A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14A2E"/>
    <w:rPr>
      <w:sz w:val="18"/>
      <w:szCs w:val="18"/>
    </w:rPr>
  </w:style>
  <w:style w:type="paragraph" w:styleId="a6">
    <w:name w:val="footer"/>
    <w:basedOn w:val="a"/>
    <w:link w:val="Char2"/>
    <w:uiPriority w:val="99"/>
    <w:unhideWhenUsed/>
    <w:rsid w:val="00614A2E"/>
    <w:pPr>
      <w:tabs>
        <w:tab w:val="center" w:pos="4153"/>
        <w:tab w:val="right" w:pos="8306"/>
      </w:tabs>
      <w:snapToGrid w:val="0"/>
      <w:jc w:val="left"/>
    </w:pPr>
    <w:rPr>
      <w:sz w:val="18"/>
      <w:szCs w:val="18"/>
    </w:rPr>
  </w:style>
  <w:style w:type="character" w:customStyle="1" w:styleId="Char2">
    <w:name w:val="页脚 Char"/>
    <w:basedOn w:val="a0"/>
    <w:link w:val="a6"/>
    <w:uiPriority w:val="99"/>
    <w:rsid w:val="00614A2E"/>
    <w:rPr>
      <w:sz w:val="18"/>
      <w:szCs w:val="18"/>
    </w:rPr>
  </w:style>
  <w:style w:type="paragraph" w:styleId="a7">
    <w:name w:val="Date"/>
    <w:basedOn w:val="a"/>
    <w:next w:val="a"/>
    <w:link w:val="Char3"/>
    <w:uiPriority w:val="99"/>
    <w:semiHidden/>
    <w:unhideWhenUsed/>
    <w:rsid w:val="006D096C"/>
    <w:pPr>
      <w:ind w:leftChars="2500" w:left="100"/>
    </w:pPr>
  </w:style>
  <w:style w:type="character" w:customStyle="1" w:styleId="Char3">
    <w:name w:val="日期 Char"/>
    <w:basedOn w:val="a0"/>
    <w:link w:val="a7"/>
    <w:uiPriority w:val="99"/>
    <w:semiHidden/>
    <w:rsid w:val="006D096C"/>
  </w:style>
  <w:style w:type="paragraph" w:styleId="a8">
    <w:name w:val="Balloon Text"/>
    <w:basedOn w:val="a"/>
    <w:link w:val="Char4"/>
    <w:uiPriority w:val="99"/>
    <w:semiHidden/>
    <w:unhideWhenUsed/>
    <w:rsid w:val="00B3056A"/>
    <w:rPr>
      <w:sz w:val="18"/>
      <w:szCs w:val="18"/>
    </w:rPr>
  </w:style>
  <w:style w:type="character" w:customStyle="1" w:styleId="Char4">
    <w:name w:val="批注框文本 Char"/>
    <w:basedOn w:val="a0"/>
    <w:link w:val="a8"/>
    <w:uiPriority w:val="99"/>
    <w:semiHidden/>
    <w:rsid w:val="00B3056A"/>
    <w:rPr>
      <w:sz w:val="18"/>
      <w:szCs w:val="18"/>
    </w:rPr>
  </w:style>
  <w:style w:type="paragraph" w:styleId="a9">
    <w:name w:val="annotation text"/>
    <w:basedOn w:val="a"/>
    <w:link w:val="Char5"/>
    <w:uiPriority w:val="99"/>
    <w:semiHidden/>
    <w:unhideWhenUsed/>
    <w:qFormat/>
    <w:rsid w:val="000D0EFD"/>
    <w:pPr>
      <w:jc w:val="left"/>
    </w:pPr>
  </w:style>
  <w:style w:type="character" w:customStyle="1" w:styleId="Char5">
    <w:name w:val="批注文字 Char"/>
    <w:basedOn w:val="a0"/>
    <w:link w:val="a9"/>
    <w:uiPriority w:val="99"/>
    <w:semiHidden/>
    <w:rsid w:val="000D0EFD"/>
  </w:style>
  <w:style w:type="paragraph" w:styleId="aa">
    <w:name w:val="List Paragraph"/>
    <w:basedOn w:val="a"/>
    <w:uiPriority w:val="99"/>
    <w:unhideWhenUsed/>
    <w:qFormat/>
    <w:rsid w:val="000D0EFD"/>
    <w:pPr>
      <w:ind w:firstLineChars="200" w:firstLine="420"/>
    </w:pPr>
  </w:style>
  <w:style w:type="character" w:customStyle="1" w:styleId="3Char">
    <w:name w:val="标题 3 Char"/>
    <w:basedOn w:val="a0"/>
    <w:link w:val="3"/>
    <w:uiPriority w:val="9"/>
    <w:rsid w:val="00247BB2"/>
    <w:rPr>
      <w:b/>
      <w:sz w:val="32"/>
    </w:rPr>
  </w:style>
  <w:style w:type="character" w:styleId="ab">
    <w:name w:val="Emphasis"/>
    <w:basedOn w:val="a0"/>
    <w:uiPriority w:val="20"/>
    <w:qFormat/>
    <w:rsid w:val="00997308"/>
    <w:rPr>
      <w:i w:val="0"/>
      <w:iCs w:val="0"/>
      <w:color w:val="CC0000"/>
    </w:rPr>
  </w:style>
  <w:style w:type="paragraph" w:styleId="ac">
    <w:name w:val="Normal (Web)"/>
    <w:basedOn w:val="a"/>
    <w:qFormat/>
    <w:rsid w:val="00A6529B"/>
    <w:pPr>
      <w:spacing w:before="100" w:beforeAutospacing="1" w:after="100" w:afterAutospacing="1"/>
      <w:jc w:val="left"/>
    </w:pPr>
    <w:rPr>
      <w:rFonts w:ascii="Calibri" w:eastAsia="宋体" w:hAnsi="Calibri" w:cs="Times New Roman"/>
      <w:kern w:val="0"/>
      <w:sz w:val="24"/>
      <w:szCs w:val="24"/>
    </w:rPr>
  </w:style>
  <w:style w:type="character" w:styleId="ad">
    <w:name w:val="Strong"/>
    <w:basedOn w:val="a0"/>
    <w:qFormat/>
    <w:rsid w:val="00A6529B"/>
    <w:rPr>
      <w:b/>
    </w:rPr>
  </w:style>
  <w:style w:type="table" w:styleId="ae">
    <w:name w:val="Table Grid"/>
    <w:basedOn w:val="a1"/>
    <w:rsid w:val="002E64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AC7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3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53835A-466B-494F-8C2D-29D5F4CB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admin</cp:lastModifiedBy>
  <cp:revision>8</cp:revision>
  <cp:lastPrinted>2022-02-21T06:59:00Z</cp:lastPrinted>
  <dcterms:created xsi:type="dcterms:W3CDTF">2021-12-29T06:51:00Z</dcterms:created>
  <dcterms:modified xsi:type="dcterms:W3CDTF">2022-02-21T08:33:00Z</dcterms:modified>
</cp:coreProperties>
</file>